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6F854" w14:textId="6BE8EF9F" w:rsidR="00E33B21" w:rsidRPr="006F15A4" w:rsidRDefault="00191123" w:rsidP="000E3ACB">
      <w:pPr>
        <w:spacing w:after="360"/>
        <w:rPr>
          <w:rFonts w:cs="Arial"/>
          <w:i/>
          <w:szCs w:val="20"/>
        </w:rPr>
      </w:pPr>
      <w:r w:rsidRPr="006F15A4">
        <w:rPr>
          <w:rFonts w:cs="Arial"/>
          <w:i/>
          <w:szCs w:val="20"/>
        </w:rPr>
        <w:t xml:space="preserve">Tisková zpráva, </w:t>
      </w:r>
      <w:r w:rsidR="00E84D99">
        <w:rPr>
          <w:rFonts w:cs="Arial"/>
          <w:i/>
          <w:szCs w:val="20"/>
        </w:rPr>
        <w:t>26</w:t>
      </w:r>
      <w:r w:rsidR="0005111C" w:rsidRPr="006F15A4">
        <w:rPr>
          <w:rFonts w:cs="Arial"/>
          <w:i/>
          <w:szCs w:val="20"/>
        </w:rPr>
        <w:t xml:space="preserve">. </w:t>
      </w:r>
      <w:r w:rsidR="00E84D99">
        <w:rPr>
          <w:rFonts w:cs="Arial"/>
          <w:i/>
          <w:szCs w:val="20"/>
        </w:rPr>
        <w:t>září</w:t>
      </w:r>
      <w:r w:rsidR="00C175ED" w:rsidRPr="006F15A4">
        <w:rPr>
          <w:rFonts w:cs="Arial"/>
          <w:i/>
          <w:szCs w:val="20"/>
        </w:rPr>
        <w:t xml:space="preserve"> 201</w:t>
      </w:r>
      <w:r w:rsidR="00F17341" w:rsidRPr="006F15A4">
        <w:rPr>
          <w:rFonts w:cs="Arial"/>
          <w:i/>
          <w:szCs w:val="20"/>
        </w:rPr>
        <w:t>8</w:t>
      </w:r>
    </w:p>
    <w:p w14:paraId="623DA5C3" w14:textId="3E761867" w:rsidR="00E84D99" w:rsidRDefault="00E84D99" w:rsidP="00127B9A">
      <w:pPr>
        <w:spacing w:after="240"/>
        <w:jc w:val="both"/>
        <w:rPr>
          <w:b/>
          <w:sz w:val="30"/>
          <w:szCs w:val="30"/>
        </w:rPr>
      </w:pPr>
      <w:r>
        <w:rPr>
          <w:b/>
          <w:sz w:val="30"/>
          <w:szCs w:val="30"/>
        </w:rPr>
        <w:t>Reakce České asociace věřitelů na projednání tzv. oddlužovací novely ústavně právním výborem</w:t>
      </w:r>
    </w:p>
    <w:p w14:paraId="5392FDE2" w14:textId="71F2B6C0" w:rsidR="00E84D99" w:rsidRDefault="00E84D99" w:rsidP="00D50D61">
      <w:pPr>
        <w:spacing w:after="120"/>
        <w:jc w:val="both"/>
        <w:rPr>
          <w:b/>
        </w:rPr>
      </w:pPr>
      <w:r>
        <w:rPr>
          <w:b/>
        </w:rPr>
        <w:t>Česká asociace věřitelů považuje velkou část pozměňovacích návrhů k tzv. oddlužovací novele, které dnes doporučil ústavně právní výbor poslanecké sněmovny, za krok správným směrem. Zejména vítá odstranění tzv. nulové sedmileté varianty, při které by dlužník nemusel věřitelům v průběhu oddlužení uhradit žádnou minimální část dluhu. Za vhodnější považuje doporučenou pětiletou variantu, do které by nově dlužníci mohli vstoupit, aniž by museli prokazovat svou schopnost splatit alespoň 30 procent dluhu. Pakliže by na takovou částku nedosáhli, bylo by na rozhodnutí soudu, zda dlužníka úspěšně oddluží a osvobodí od zbývajících dluhů. Za nežádoucí naopak asociace považuje zachování tříleté varianty, při které by dlužník musel splatit pouze 5</w:t>
      </w:r>
      <w:bookmarkStart w:id="0" w:name="_GoBack"/>
      <w:bookmarkEnd w:id="0"/>
      <w:r>
        <w:rPr>
          <w:b/>
        </w:rPr>
        <w:t>0 procent dluhu.</w:t>
      </w:r>
    </w:p>
    <w:p w14:paraId="56FEEED3" w14:textId="652D34D5" w:rsidR="00C85503" w:rsidRDefault="00C85503" w:rsidP="00D50D61">
      <w:pPr>
        <w:spacing w:after="120"/>
        <w:jc w:val="both"/>
      </w:pPr>
      <w:r w:rsidRPr="00E84D99">
        <w:t>„</w:t>
      </w:r>
      <w:r w:rsidRPr="00C85503">
        <w:rPr>
          <w:i/>
        </w:rPr>
        <w:t xml:space="preserve">Téměř polovina dlužníků je v současnosti schopna splatit věřitelům během 5 let více než polovinu dluhu. Nevidíme proto žádný oprávněný důvod, proč oddlužení ukončovat již po 3 letech a krátit tak věřitele na značné části jeho pohledávky, kterou by mohl dlužník v následujících 2 letech bez problémů </w:t>
      </w:r>
      <w:r w:rsidR="007C7CFF">
        <w:rPr>
          <w:i/>
        </w:rPr>
        <w:t>zaplatit</w:t>
      </w:r>
      <w:r w:rsidRPr="00C85503">
        <w:rPr>
          <w:i/>
        </w:rPr>
        <w:t>,</w:t>
      </w:r>
      <w:r>
        <w:t>“ komentuje tříletou variantu oddlužení Pavel Staněk, advokát a prezident České asociace věřitelů.</w:t>
      </w:r>
      <w:r w:rsidR="007C7CFF">
        <w:t xml:space="preserve"> Za nesprávné asociace považuje také zrušení povinnosti dlužníka předložit společně s návrhem na oddlužení seznam svých závazků.</w:t>
      </w:r>
    </w:p>
    <w:p w14:paraId="0FDB08F4" w14:textId="65DA5D4B" w:rsidR="00C85503" w:rsidRDefault="00C85503" w:rsidP="00C85503">
      <w:pPr>
        <w:spacing w:after="120"/>
        <w:jc w:val="both"/>
      </w:pPr>
      <w:r>
        <w:t>Vedle odstranění sedmileté varianty oddlužení asociace oceňuje zejména doporučené prodloužení lhůty pro přihlašování pohledávek věřitelů do insolvenčního řízení z aktuálních 30 dnů na 2 měsíce. „</w:t>
      </w:r>
      <w:r w:rsidRPr="00C85503">
        <w:rPr>
          <w:i/>
        </w:rPr>
        <w:t xml:space="preserve">Zejména drobným věřitelů se </w:t>
      </w:r>
      <w:r w:rsidR="007C7CFF">
        <w:rPr>
          <w:i/>
        </w:rPr>
        <w:t xml:space="preserve">mnohdy </w:t>
      </w:r>
      <w:r w:rsidRPr="00C85503">
        <w:rPr>
          <w:i/>
        </w:rPr>
        <w:t>stává, že promeškají lhůtu</w:t>
      </w:r>
      <w:r w:rsidR="007C7CFF">
        <w:rPr>
          <w:i/>
        </w:rPr>
        <w:t xml:space="preserve"> pro přihlášení své pohledávky</w:t>
      </w:r>
      <w:r w:rsidRPr="00C85503">
        <w:rPr>
          <w:i/>
        </w:rPr>
        <w:t>, neboť se o podání dlužníkova návrhu na oddlužení dozvědí až s delším časovým odstupem. V takovém případě potom ztrácejí nárok na jakékoli uspokojení své pohledávky. Podporujeme proto prodloužení této lhůty, popřípadě i zakotvení možnosti prominutí promeškání lhůty pro přihlášení pohledávek tak, jako je tomu například v německé či rakouské právní úpravě,</w:t>
      </w:r>
      <w:r>
        <w:t>“ říká Pavel Staněk.</w:t>
      </w:r>
    </w:p>
    <w:p w14:paraId="4B06FA51" w14:textId="7F26D753" w:rsidR="00C85503" w:rsidRDefault="00C85503" w:rsidP="00C85503">
      <w:pPr>
        <w:spacing w:after="120"/>
        <w:jc w:val="both"/>
      </w:pPr>
      <w:r>
        <w:t>Za smysluplné asociace považuje také návrh, podle kterého by úroky, sankce</w:t>
      </w:r>
      <w:r w:rsidR="007C7CFF">
        <w:t xml:space="preserve"> a další příslušenství pohledáv</w:t>
      </w:r>
      <w:r>
        <w:t>k</w:t>
      </w:r>
      <w:r w:rsidR="007C7CFF">
        <w:t>y přesahující 100 procent</w:t>
      </w:r>
      <w:r>
        <w:t xml:space="preserve"> její výše bylo uspokojováno až po úplném uhrazení ostatních pohledávek a současně by se k </w:t>
      </w:r>
      <w:r w:rsidR="007C7CFF">
        <w:t>němu</w:t>
      </w:r>
      <w:r>
        <w:t xml:space="preserve"> nepřihlíželo při posuzování toho, zda dlužník splnil podmínky oddlužení. „</w:t>
      </w:r>
      <w:r w:rsidRPr="007C7CFF">
        <w:rPr>
          <w:i/>
        </w:rPr>
        <w:t xml:space="preserve">Taková úprava může výrazně zvýšit šanci dlužníků na úspěšné ukončení oddlužení a zároveň povede </w:t>
      </w:r>
      <w:r w:rsidR="007C7CFF">
        <w:rPr>
          <w:i/>
        </w:rPr>
        <w:t>i</w:t>
      </w:r>
      <w:r w:rsidRPr="007C7CFF">
        <w:rPr>
          <w:i/>
        </w:rPr>
        <w:t xml:space="preserve"> ke spravedlivějšímu rozdělování splacené částky mezi jednotlivé věřitele,</w:t>
      </w:r>
      <w:r>
        <w:t xml:space="preserve">“ </w:t>
      </w:r>
      <w:r w:rsidR="007C7CFF">
        <w:t>dodává</w:t>
      </w:r>
      <w:r>
        <w:t xml:space="preserve"> Staněk.</w:t>
      </w:r>
    </w:p>
    <w:p w14:paraId="6AFD332E" w14:textId="77777777" w:rsidR="00C85503" w:rsidRDefault="00C85503" w:rsidP="00C85503"/>
    <w:p w14:paraId="0759CCA7" w14:textId="77777777" w:rsidR="00E84D99" w:rsidRDefault="00E84D99" w:rsidP="00D50D61">
      <w:pPr>
        <w:spacing w:after="120"/>
        <w:jc w:val="both"/>
        <w:rPr>
          <w:b/>
        </w:rPr>
      </w:pPr>
    </w:p>
    <w:p w14:paraId="42173377" w14:textId="77777777" w:rsidR="0005111C" w:rsidRPr="00F75340" w:rsidRDefault="0005111C" w:rsidP="00F75340">
      <w:pPr>
        <w:spacing w:after="120"/>
        <w:jc w:val="both"/>
        <w:rPr>
          <w:b/>
          <w:sz w:val="26"/>
          <w:szCs w:val="26"/>
          <w:shd w:val="clear" w:color="auto" w:fill="FFFFFF"/>
        </w:rPr>
      </w:pPr>
      <w:r w:rsidRPr="00F75340">
        <w:rPr>
          <w:b/>
          <w:sz w:val="26"/>
          <w:szCs w:val="26"/>
          <w:shd w:val="clear" w:color="auto" w:fill="FFFFFF"/>
        </w:rPr>
        <w:t>O České asociaci věřitelů</w:t>
      </w:r>
    </w:p>
    <w:p w14:paraId="0F1E2B22" w14:textId="77777777" w:rsidR="0005111C" w:rsidRDefault="0005111C" w:rsidP="00F05E27">
      <w:pPr>
        <w:jc w:val="both"/>
        <w:rPr>
          <w:bCs/>
        </w:rPr>
      </w:pPr>
      <w:r>
        <w:t xml:space="preserve">Česká asociace věřitelů je sdružením </w:t>
      </w:r>
      <w:r w:rsidRPr="009907FD">
        <w:t xml:space="preserve">fyzických a právnických osob, jehož </w:t>
      </w:r>
      <w:r w:rsidRPr="00B043FA">
        <w:rPr>
          <w:b/>
        </w:rPr>
        <w:t>hlavním cílem je hájit zájmy věřitelských subjektů v České republice</w:t>
      </w:r>
      <w:r>
        <w:rPr>
          <w:shd w:val="clear" w:color="auto" w:fill="FFFFFF"/>
        </w:rPr>
        <w:t xml:space="preserve">. </w:t>
      </w:r>
      <w:r>
        <w:t xml:space="preserve">Byla založena 31. prosince 2013 a její </w:t>
      </w:r>
      <w:r>
        <w:rPr>
          <w:shd w:val="clear" w:color="auto" w:fill="FFFFFF"/>
        </w:rPr>
        <w:t xml:space="preserve">vznik byl motivován především skutečností, že zde, na rozdíl od velkého množství organizací bojujících za práva spotřebitelů, dlužníků, zadlužených či předlužených osob, doposud neexistoval subjekt, který by svým zaměřením a komplexním přístupem přispíval ke zvýšení </w:t>
      </w:r>
      <w:r w:rsidRPr="00B043FA">
        <w:rPr>
          <w:shd w:val="clear" w:color="auto" w:fill="FFFFFF"/>
        </w:rPr>
        <w:t>ochrany oprávněných zájmů všech věřitelů</w:t>
      </w:r>
      <w:r w:rsidRPr="00B043FA">
        <w:rPr>
          <w:b/>
          <w:shd w:val="clear" w:color="auto" w:fill="FFFFFF"/>
        </w:rPr>
        <w:t xml:space="preserve"> bez ohledu na jejich profesní či oborové zaměření</w:t>
      </w:r>
      <w:r>
        <w:rPr>
          <w:shd w:val="clear" w:color="auto" w:fill="FFFFFF"/>
        </w:rPr>
        <w:t xml:space="preserve">. </w:t>
      </w:r>
      <w:r>
        <w:t>Tuto úlohu dílčím způsobem plnilo několik asociací, komor či</w:t>
      </w:r>
      <w:r w:rsidRPr="009907FD">
        <w:t xml:space="preserve"> zájmových sdružení, většinou </w:t>
      </w:r>
      <w:r>
        <w:t>se však jednalo</w:t>
      </w:r>
      <w:r w:rsidRPr="009907FD">
        <w:t xml:space="preserve"> o aktivity značně roztříštěné.</w:t>
      </w:r>
      <w:r>
        <w:t xml:space="preserve"> Záměrem České asociace věřitelů je chránit práva věřitelů </w:t>
      </w:r>
      <w:r w:rsidRPr="00B043FA">
        <w:rPr>
          <w:b/>
        </w:rPr>
        <w:t>nejen</w:t>
      </w:r>
      <w:r>
        <w:rPr>
          <w:b/>
        </w:rPr>
        <w:t xml:space="preserve"> z řad velkých institucí, ale i </w:t>
      </w:r>
      <w:r w:rsidRPr="00B043FA">
        <w:rPr>
          <w:b/>
        </w:rPr>
        <w:t>řadových občanů</w:t>
      </w:r>
      <w:r>
        <w:t xml:space="preserve">, přispívat ke </w:t>
      </w:r>
      <w:r w:rsidRPr="00B043FA">
        <w:rPr>
          <w:b/>
        </w:rPr>
        <w:t>zlepšení a zefektivnění právního systému</w:t>
      </w:r>
      <w:r>
        <w:t xml:space="preserve"> i </w:t>
      </w:r>
      <w:r w:rsidRPr="00B043FA">
        <w:rPr>
          <w:b/>
        </w:rPr>
        <w:t>celospolečenské osvětě</w:t>
      </w:r>
      <w:r>
        <w:t>, která povede ke spravedlivému uspořádání vztahů mezi věřiteli a dlužníky.</w:t>
      </w:r>
    </w:p>
    <w:p w14:paraId="13697518" w14:textId="77777777" w:rsidR="0005111C" w:rsidRDefault="0005111C" w:rsidP="00F05E27">
      <w:pPr>
        <w:rPr>
          <w:bCs/>
        </w:rPr>
      </w:pPr>
      <w:r>
        <w:rPr>
          <w:bCs/>
        </w:rPr>
        <w:t xml:space="preserve">Více informací na </w:t>
      </w:r>
      <w:hyperlink r:id="rId7" w:history="1">
        <w:r w:rsidRPr="00692853">
          <w:rPr>
            <w:rStyle w:val="Hypertextovodkaz"/>
            <w:bCs/>
          </w:rPr>
          <w:t>www.asociaceveritelu.cz</w:t>
        </w:r>
      </w:hyperlink>
    </w:p>
    <w:p w14:paraId="4FBDE6F8" w14:textId="77777777" w:rsidR="0005111C" w:rsidRDefault="0005111C" w:rsidP="00F05E27">
      <w:pPr>
        <w:rPr>
          <w:bCs/>
        </w:rPr>
      </w:pPr>
    </w:p>
    <w:p w14:paraId="43529C59" w14:textId="77777777" w:rsidR="00074013" w:rsidRDefault="00074013" w:rsidP="00F05E27">
      <w:pPr>
        <w:rPr>
          <w:bCs/>
        </w:rPr>
      </w:pPr>
    </w:p>
    <w:p w14:paraId="5344DD85" w14:textId="77777777" w:rsidR="00074013" w:rsidRDefault="00074013" w:rsidP="00F05E27">
      <w:pPr>
        <w:rPr>
          <w:bCs/>
        </w:rPr>
      </w:pPr>
    </w:p>
    <w:p w14:paraId="13F31355" w14:textId="77777777" w:rsidR="0005111C" w:rsidRPr="003E2304" w:rsidRDefault="0005111C" w:rsidP="00F05E27">
      <w:pPr>
        <w:pBdr>
          <w:top w:val="single" w:sz="4" w:space="1" w:color="auto"/>
        </w:pBdr>
        <w:shd w:val="clear" w:color="auto" w:fill="FFFFFF"/>
        <w:spacing w:after="60"/>
        <w:rPr>
          <w:rFonts w:cs="Arial"/>
          <w:b/>
          <w:bCs/>
          <w:sz w:val="24"/>
        </w:rPr>
      </w:pPr>
      <w:r w:rsidRPr="00157688">
        <w:rPr>
          <w:rFonts w:cs="Arial"/>
          <w:b/>
          <w:bCs/>
          <w:sz w:val="24"/>
        </w:rPr>
        <w:t>Kontakt</w:t>
      </w:r>
      <w:r>
        <w:rPr>
          <w:rFonts w:cs="Arial"/>
          <w:b/>
          <w:bCs/>
          <w:sz w:val="24"/>
        </w:rPr>
        <w:t xml:space="preserve"> pro média</w:t>
      </w:r>
      <w:r w:rsidRPr="00157688">
        <w:rPr>
          <w:rFonts w:cs="Arial"/>
          <w:b/>
          <w:bCs/>
          <w:sz w:val="24"/>
        </w:rPr>
        <w:t>:</w:t>
      </w:r>
    </w:p>
    <w:p w14:paraId="6F395973" w14:textId="77777777" w:rsidR="0005111C" w:rsidRPr="00BC3790" w:rsidRDefault="0005111C" w:rsidP="00F05E27">
      <w:pPr>
        <w:pBdr>
          <w:top w:val="single" w:sz="4" w:space="1" w:color="auto"/>
        </w:pBdr>
        <w:shd w:val="clear" w:color="auto" w:fill="FFFFFF"/>
        <w:rPr>
          <w:rFonts w:cs="Arial"/>
          <w:szCs w:val="20"/>
        </w:rPr>
      </w:pPr>
      <w:r w:rsidRPr="00BC3790">
        <w:rPr>
          <w:rFonts w:cs="Arial"/>
          <w:bCs/>
          <w:szCs w:val="20"/>
        </w:rPr>
        <w:t>Alžběta Běličová</w:t>
      </w:r>
    </w:p>
    <w:p w14:paraId="06298C1D" w14:textId="77777777" w:rsidR="0005111C" w:rsidRDefault="0005111C" w:rsidP="00F05E27">
      <w:pPr>
        <w:rPr>
          <w:rFonts w:cs="Arial"/>
          <w:szCs w:val="20"/>
        </w:rPr>
      </w:pPr>
      <w:r w:rsidRPr="00BC3790">
        <w:rPr>
          <w:rFonts w:cs="Arial"/>
          <w:szCs w:val="20"/>
        </w:rPr>
        <w:t>mediální konzultant ČAV</w:t>
      </w:r>
    </w:p>
    <w:p w14:paraId="02F0E76A" w14:textId="77777777" w:rsidR="0005111C" w:rsidRPr="00AA698E" w:rsidRDefault="0005111C" w:rsidP="00F05E27">
      <w:r>
        <w:t xml:space="preserve">E-mail: </w:t>
      </w:r>
      <w:hyperlink r:id="rId8" w:history="1">
        <w:r w:rsidRPr="00602830">
          <w:rPr>
            <w:rStyle w:val="Hypertextovodkaz"/>
          </w:rPr>
          <w:t>media@asociaceveritelu.cz</w:t>
        </w:r>
      </w:hyperlink>
    </w:p>
    <w:p w14:paraId="6EEA8DCB" w14:textId="77777777" w:rsidR="0005111C" w:rsidRDefault="0005111C" w:rsidP="00F05E27">
      <w:pPr>
        <w:rPr>
          <w:bCs/>
        </w:rPr>
      </w:pPr>
      <w:r>
        <w:rPr>
          <w:bCs/>
        </w:rPr>
        <w:t>Telefon: +420 603 547 021</w:t>
      </w:r>
    </w:p>
    <w:p w14:paraId="374E9F1B" w14:textId="77777777" w:rsidR="0005111C" w:rsidRPr="00BC3790" w:rsidRDefault="0005111C" w:rsidP="00F05E27">
      <w:pPr>
        <w:rPr>
          <w:rFonts w:cs="Arial"/>
          <w:szCs w:val="20"/>
        </w:rPr>
      </w:pPr>
    </w:p>
    <w:p w14:paraId="5E3AB10A" w14:textId="77777777" w:rsidR="0005111C" w:rsidRDefault="0005111C" w:rsidP="00831921">
      <w:pPr>
        <w:jc w:val="both"/>
      </w:pPr>
    </w:p>
    <w:sectPr w:rsidR="0005111C" w:rsidSect="000E3ACB">
      <w:headerReference w:type="default" r:id="rId9"/>
      <w:pgSz w:w="11906" w:h="16838" w:code="9"/>
      <w:pgMar w:top="1701" w:right="1304" w:bottom="1304" w:left="1304"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F3AB9" w14:textId="77777777" w:rsidR="007A7FF4" w:rsidRDefault="007A7FF4">
      <w:r>
        <w:separator/>
      </w:r>
    </w:p>
  </w:endnote>
  <w:endnote w:type="continuationSeparator" w:id="0">
    <w:p w14:paraId="3BFDFE17" w14:textId="77777777" w:rsidR="007A7FF4" w:rsidRDefault="007A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91317" w14:textId="77777777" w:rsidR="007A7FF4" w:rsidRDefault="007A7FF4">
      <w:r>
        <w:separator/>
      </w:r>
    </w:p>
  </w:footnote>
  <w:footnote w:type="continuationSeparator" w:id="0">
    <w:p w14:paraId="41AC1640" w14:textId="77777777" w:rsidR="007A7FF4" w:rsidRDefault="007A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0B30D" w14:textId="77777777" w:rsidR="0005111C" w:rsidRDefault="008F549C" w:rsidP="00F05E27">
    <w:pPr>
      <w:pStyle w:val="Zhlav"/>
      <w:jc w:val="right"/>
    </w:pPr>
    <w:r>
      <w:rPr>
        <w:noProof/>
        <w:lang w:val="en-US" w:eastAsia="en-US"/>
      </w:rPr>
      <w:drawing>
        <wp:inline distT="0" distB="0" distL="0" distR="0" wp14:anchorId="0EEFA64D" wp14:editId="1ACB9D6F">
          <wp:extent cx="3117215" cy="421640"/>
          <wp:effectExtent l="1905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117215" cy="4216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00856"/>
    <w:multiLevelType w:val="hybridMultilevel"/>
    <w:tmpl w:val="F3C68E60"/>
    <w:lvl w:ilvl="0" w:tplc="A1523A98">
      <w:start w:val="1"/>
      <w:numFmt w:val="bullet"/>
      <w:lvlText w:val="×"/>
      <w:lvlJc w:val="left"/>
      <w:pPr>
        <w:tabs>
          <w:tab w:val="num" w:pos="720"/>
        </w:tabs>
        <w:ind w:left="720" w:hanging="360"/>
      </w:pPr>
      <w:rPr>
        <w:rFonts w:ascii="Calibri" w:hAnsi="Calibri" w:hint="default"/>
      </w:rPr>
    </w:lvl>
    <w:lvl w:ilvl="1" w:tplc="606EDEF0" w:tentative="1">
      <w:start w:val="1"/>
      <w:numFmt w:val="bullet"/>
      <w:lvlText w:val="×"/>
      <w:lvlJc w:val="left"/>
      <w:pPr>
        <w:tabs>
          <w:tab w:val="num" w:pos="1440"/>
        </w:tabs>
        <w:ind w:left="1440" w:hanging="360"/>
      </w:pPr>
      <w:rPr>
        <w:rFonts w:ascii="Calibri" w:hAnsi="Calibri" w:hint="default"/>
      </w:rPr>
    </w:lvl>
    <w:lvl w:ilvl="2" w:tplc="6138FDE2" w:tentative="1">
      <w:start w:val="1"/>
      <w:numFmt w:val="bullet"/>
      <w:lvlText w:val="×"/>
      <w:lvlJc w:val="left"/>
      <w:pPr>
        <w:tabs>
          <w:tab w:val="num" w:pos="2160"/>
        </w:tabs>
        <w:ind w:left="2160" w:hanging="360"/>
      </w:pPr>
      <w:rPr>
        <w:rFonts w:ascii="Calibri" w:hAnsi="Calibri" w:hint="default"/>
      </w:rPr>
    </w:lvl>
    <w:lvl w:ilvl="3" w:tplc="774CF8B6" w:tentative="1">
      <w:start w:val="1"/>
      <w:numFmt w:val="bullet"/>
      <w:lvlText w:val="×"/>
      <w:lvlJc w:val="left"/>
      <w:pPr>
        <w:tabs>
          <w:tab w:val="num" w:pos="2880"/>
        </w:tabs>
        <w:ind w:left="2880" w:hanging="360"/>
      </w:pPr>
      <w:rPr>
        <w:rFonts w:ascii="Calibri" w:hAnsi="Calibri" w:hint="default"/>
      </w:rPr>
    </w:lvl>
    <w:lvl w:ilvl="4" w:tplc="E696A7F6" w:tentative="1">
      <w:start w:val="1"/>
      <w:numFmt w:val="bullet"/>
      <w:lvlText w:val="×"/>
      <w:lvlJc w:val="left"/>
      <w:pPr>
        <w:tabs>
          <w:tab w:val="num" w:pos="3600"/>
        </w:tabs>
        <w:ind w:left="3600" w:hanging="360"/>
      </w:pPr>
      <w:rPr>
        <w:rFonts w:ascii="Calibri" w:hAnsi="Calibri" w:hint="default"/>
      </w:rPr>
    </w:lvl>
    <w:lvl w:ilvl="5" w:tplc="F42011AE" w:tentative="1">
      <w:start w:val="1"/>
      <w:numFmt w:val="bullet"/>
      <w:lvlText w:val="×"/>
      <w:lvlJc w:val="left"/>
      <w:pPr>
        <w:tabs>
          <w:tab w:val="num" w:pos="4320"/>
        </w:tabs>
        <w:ind w:left="4320" w:hanging="360"/>
      </w:pPr>
      <w:rPr>
        <w:rFonts w:ascii="Calibri" w:hAnsi="Calibri" w:hint="default"/>
      </w:rPr>
    </w:lvl>
    <w:lvl w:ilvl="6" w:tplc="C6BE19DA" w:tentative="1">
      <w:start w:val="1"/>
      <w:numFmt w:val="bullet"/>
      <w:lvlText w:val="×"/>
      <w:lvlJc w:val="left"/>
      <w:pPr>
        <w:tabs>
          <w:tab w:val="num" w:pos="5040"/>
        </w:tabs>
        <w:ind w:left="5040" w:hanging="360"/>
      </w:pPr>
      <w:rPr>
        <w:rFonts w:ascii="Calibri" w:hAnsi="Calibri" w:hint="default"/>
      </w:rPr>
    </w:lvl>
    <w:lvl w:ilvl="7" w:tplc="04826A98" w:tentative="1">
      <w:start w:val="1"/>
      <w:numFmt w:val="bullet"/>
      <w:lvlText w:val="×"/>
      <w:lvlJc w:val="left"/>
      <w:pPr>
        <w:tabs>
          <w:tab w:val="num" w:pos="5760"/>
        </w:tabs>
        <w:ind w:left="5760" w:hanging="360"/>
      </w:pPr>
      <w:rPr>
        <w:rFonts w:ascii="Calibri" w:hAnsi="Calibri" w:hint="default"/>
      </w:rPr>
    </w:lvl>
    <w:lvl w:ilvl="8" w:tplc="B67C61C6" w:tentative="1">
      <w:start w:val="1"/>
      <w:numFmt w:val="bullet"/>
      <w:lvlText w:val="×"/>
      <w:lvlJc w:val="left"/>
      <w:pPr>
        <w:tabs>
          <w:tab w:val="num" w:pos="6480"/>
        </w:tabs>
        <w:ind w:left="6480" w:hanging="360"/>
      </w:pPr>
      <w:rPr>
        <w:rFonts w:ascii="Calibri" w:hAnsi="Calibri" w:hint="default"/>
      </w:rPr>
    </w:lvl>
  </w:abstractNum>
  <w:abstractNum w:abstractNumId="1" w15:restartNumberingAfterBreak="0">
    <w:nsid w:val="099E1553"/>
    <w:multiLevelType w:val="hybridMultilevel"/>
    <w:tmpl w:val="8CC623EC"/>
    <w:lvl w:ilvl="0" w:tplc="9F2620AE">
      <w:start w:val="1"/>
      <w:numFmt w:val="lowerLetter"/>
      <w:lvlText w:val="%1)"/>
      <w:lvlJc w:val="left"/>
      <w:pPr>
        <w:tabs>
          <w:tab w:val="num" w:pos="720"/>
        </w:tabs>
        <w:ind w:left="720" w:hanging="360"/>
      </w:pPr>
      <w:rPr>
        <w:rFonts w:cs="Times New Roman"/>
      </w:rPr>
    </w:lvl>
    <w:lvl w:ilvl="1" w:tplc="2E20EC4E">
      <w:start w:val="146"/>
      <w:numFmt w:val="bullet"/>
      <w:lvlText w:val="–"/>
      <w:lvlJc w:val="left"/>
      <w:pPr>
        <w:tabs>
          <w:tab w:val="num" w:pos="1440"/>
        </w:tabs>
        <w:ind w:left="1440" w:hanging="360"/>
      </w:pPr>
      <w:rPr>
        <w:rFonts w:ascii="Arial" w:hAnsi="Arial" w:hint="default"/>
      </w:rPr>
    </w:lvl>
    <w:lvl w:ilvl="2" w:tplc="149C1BAC" w:tentative="1">
      <w:start w:val="1"/>
      <w:numFmt w:val="lowerLetter"/>
      <w:lvlText w:val="%3)"/>
      <w:lvlJc w:val="left"/>
      <w:pPr>
        <w:tabs>
          <w:tab w:val="num" w:pos="2160"/>
        </w:tabs>
        <w:ind w:left="2160" w:hanging="360"/>
      </w:pPr>
      <w:rPr>
        <w:rFonts w:cs="Times New Roman"/>
      </w:rPr>
    </w:lvl>
    <w:lvl w:ilvl="3" w:tplc="0B703DB8" w:tentative="1">
      <w:start w:val="1"/>
      <w:numFmt w:val="lowerLetter"/>
      <w:lvlText w:val="%4)"/>
      <w:lvlJc w:val="left"/>
      <w:pPr>
        <w:tabs>
          <w:tab w:val="num" w:pos="2880"/>
        </w:tabs>
        <w:ind w:left="2880" w:hanging="360"/>
      </w:pPr>
      <w:rPr>
        <w:rFonts w:cs="Times New Roman"/>
      </w:rPr>
    </w:lvl>
    <w:lvl w:ilvl="4" w:tplc="2AB6F8FE" w:tentative="1">
      <w:start w:val="1"/>
      <w:numFmt w:val="lowerLetter"/>
      <w:lvlText w:val="%5)"/>
      <w:lvlJc w:val="left"/>
      <w:pPr>
        <w:tabs>
          <w:tab w:val="num" w:pos="3600"/>
        </w:tabs>
        <w:ind w:left="3600" w:hanging="360"/>
      </w:pPr>
      <w:rPr>
        <w:rFonts w:cs="Times New Roman"/>
      </w:rPr>
    </w:lvl>
    <w:lvl w:ilvl="5" w:tplc="B182512C" w:tentative="1">
      <w:start w:val="1"/>
      <w:numFmt w:val="lowerLetter"/>
      <w:lvlText w:val="%6)"/>
      <w:lvlJc w:val="left"/>
      <w:pPr>
        <w:tabs>
          <w:tab w:val="num" w:pos="4320"/>
        </w:tabs>
        <w:ind w:left="4320" w:hanging="360"/>
      </w:pPr>
      <w:rPr>
        <w:rFonts w:cs="Times New Roman"/>
      </w:rPr>
    </w:lvl>
    <w:lvl w:ilvl="6" w:tplc="8C4CB580" w:tentative="1">
      <w:start w:val="1"/>
      <w:numFmt w:val="lowerLetter"/>
      <w:lvlText w:val="%7)"/>
      <w:lvlJc w:val="left"/>
      <w:pPr>
        <w:tabs>
          <w:tab w:val="num" w:pos="5040"/>
        </w:tabs>
        <w:ind w:left="5040" w:hanging="360"/>
      </w:pPr>
      <w:rPr>
        <w:rFonts w:cs="Times New Roman"/>
      </w:rPr>
    </w:lvl>
    <w:lvl w:ilvl="7" w:tplc="9EEC63D8" w:tentative="1">
      <w:start w:val="1"/>
      <w:numFmt w:val="lowerLetter"/>
      <w:lvlText w:val="%8)"/>
      <w:lvlJc w:val="left"/>
      <w:pPr>
        <w:tabs>
          <w:tab w:val="num" w:pos="5760"/>
        </w:tabs>
        <w:ind w:left="5760" w:hanging="360"/>
      </w:pPr>
      <w:rPr>
        <w:rFonts w:cs="Times New Roman"/>
      </w:rPr>
    </w:lvl>
    <w:lvl w:ilvl="8" w:tplc="E1A06B8A" w:tentative="1">
      <w:start w:val="1"/>
      <w:numFmt w:val="lowerLetter"/>
      <w:lvlText w:val="%9)"/>
      <w:lvlJc w:val="left"/>
      <w:pPr>
        <w:tabs>
          <w:tab w:val="num" w:pos="6480"/>
        </w:tabs>
        <w:ind w:left="6480" w:hanging="360"/>
      </w:pPr>
      <w:rPr>
        <w:rFonts w:cs="Times New Roman"/>
      </w:rPr>
    </w:lvl>
  </w:abstractNum>
  <w:abstractNum w:abstractNumId="2" w15:restartNumberingAfterBreak="0">
    <w:nsid w:val="169620C0"/>
    <w:multiLevelType w:val="hybridMultilevel"/>
    <w:tmpl w:val="4DAE63C6"/>
    <w:lvl w:ilvl="0" w:tplc="41F498A4">
      <w:start w:val="1"/>
      <w:numFmt w:val="lowerLetter"/>
      <w:lvlText w:val="%1)"/>
      <w:lvlJc w:val="left"/>
      <w:pPr>
        <w:tabs>
          <w:tab w:val="num" w:pos="720"/>
        </w:tabs>
        <w:ind w:left="720" w:hanging="360"/>
      </w:pPr>
      <w:rPr>
        <w:rFonts w:cs="Times New Roman"/>
      </w:rPr>
    </w:lvl>
    <w:lvl w:ilvl="1" w:tplc="65D8A704">
      <w:start w:val="146"/>
      <w:numFmt w:val="bullet"/>
      <w:lvlText w:val="–"/>
      <w:lvlJc w:val="left"/>
      <w:pPr>
        <w:tabs>
          <w:tab w:val="num" w:pos="1440"/>
        </w:tabs>
        <w:ind w:left="1440" w:hanging="360"/>
      </w:pPr>
      <w:rPr>
        <w:rFonts w:ascii="Arial" w:hAnsi="Arial" w:hint="default"/>
      </w:rPr>
    </w:lvl>
    <w:lvl w:ilvl="2" w:tplc="D570DAD0" w:tentative="1">
      <w:start w:val="1"/>
      <w:numFmt w:val="lowerLetter"/>
      <w:lvlText w:val="%3)"/>
      <w:lvlJc w:val="left"/>
      <w:pPr>
        <w:tabs>
          <w:tab w:val="num" w:pos="2160"/>
        </w:tabs>
        <w:ind w:left="2160" w:hanging="360"/>
      </w:pPr>
      <w:rPr>
        <w:rFonts w:cs="Times New Roman"/>
      </w:rPr>
    </w:lvl>
    <w:lvl w:ilvl="3" w:tplc="20F6CB54" w:tentative="1">
      <w:start w:val="1"/>
      <w:numFmt w:val="lowerLetter"/>
      <w:lvlText w:val="%4)"/>
      <w:lvlJc w:val="left"/>
      <w:pPr>
        <w:tabs>
          <w:tab w:val="num" w:pos="2880"/>
        </w:tabs>
        <w:ind w:left="2880" w:hanging="360"/>
      </w:pPr>
      <w:rPr>
        <w:rFonts w:cs="Times New Roman"/>
      </w:rPr>
    </w:lvl>
    <w:lvl w:ilvl="4" w:tplc="D66A48F4" w:tentative="1">
      <w:start w:val="1"/>
      <w:numFmt w:val="lowerLetter"/>
      <w:lvlText w:val="%5)"/>
      <w:lvlJc w:val="left"/>
      <w:pPr>
        <w:tabs>
          <w:tab w:val="num" w:pos="3600"/>
        </w:tabs>
        <w:ind w:left="3600" w:hanging="360"/>
      </w:pPr>
      <w:rPr>
        <w:rFonts w:cs="Times New Roman"/>
      </w:rPr>
    </w:lvl>
    <w:lvl w:ilvl="5" w:tplc="273EB906" w:tentative="1">
      <w:start w:val="1"/>
      <w:numFmt w:val="lowerLetter"/>
      <w:lvlText w:val="%6)"/>
      <w:lvlJc w:val="left"/>
      <w:pPr>
        <w:tabs>
          <w:tab w:val="num" w:pos="4320"/>
        </w:tabs>
        <w:ind w:left="4320" w:hanging="360"/>
      </w:pPr>
      <w:rPr>
        <w:rFonts w:cs="Times New Roman"/>
      </w:rPr>
    </w:lvl>
    <w:lvl w:ilvl="6" w:tplc="97566D8C" w:tentative="1">
      <w:start w:val="1"/>
      <w:numFmt w:val="lowerLetter"/>
      <w:lvlText w:val="%7)"/>
      <w:lvlJc w:val="left"/>
      <w:pPr>
        <w:tabs>
          <w:tab w:val="num" w:pos="5040"/>
        </w:tabs>
        <w:ind w:left="5040" w:hanging="360"/>
      </w:pPr>
      <w:rPr>
        <w:rFonts w:cs="Times New Roman"/>
      </w:rPr>
    </w:lvl>
    <w:lvl w:ilvl="7" w:tplc="FAC4F146" w:tentative="1">
      <w:start w:val="1"/>
      <w:numFmt w:val="lowerLetter"/>
      <w:lvlText w:val="%8)"/>
      <w:lvlJc w:val="left"/>
      <w:pPr>
        <w:tabs>
          <w:tab w:val="num" w:pos="5760"/>
        </w:tabs>
        <w:ind w:left="5760" w:hanging="360"/>
      </w:pPr>
      <w:rPr>
        <w:rFonts w:cs="Times New Roman"/>
      </w:rPr>
    </w:lvl>
    <w:lvl w:ilvl="8" w:tplc="C4326AA0" w:tentative="1">
      <w:start w:val="1"/>
      <w:numFmt w:val="lowerLetter"/>
      <w:lvlText w:val="%9)"/>
      <w:lvlJc w:val="left"/>
      <w:pPr>
        <w:tabs>
          <w:tab w:val="num" w:pos="6480"/>
        </w:tabs>
        <w:ind w:left="6480" w:hanging="360"/>
      </w:pPr>
      <w:rPr>
        <w:rFonts w:cs="Times New Roman"/>
      </w:rPr>
    </w:lvl>
  </w:abstractNum>
  <w:abstractNum w:abstractNumId="3" w15:restartNumberingAfterBreak="0">
    <w:nsid w:val="1A4A51B7"/>
    <w:multiLevelType w:val="hybridMultilevel"/>
    <w:tmpl w:val="B37C0906"/>
    <w:lvl w:ilvl="0" w:tplc="03367CC2">
      <w:start w:val="1"/>
      <w:numFmt w:val="lowerLetter"/>
      <w:lvlText w:val="%1)"/>
      <w:lvlJc w:val="left"/>
      <w:pPr>
        <w:tabs>
          <w:tab w:val="num" w:pos="900"/>
        </w:tabs>
        <w:ind w:left="900" w:hanging="360"/>
      </w:pPr>
      <w:rPr>
        <w:rFonts w:cs="Times New Roman" w:hint="default"/>
      </w:rPr>
    </w:lvl>
    <w:lvl w:ilvl="1" w:tplc="04050019" w:tentative="1">
      <w:start w:val="1"/>
      <w:numFmt w:val="lowerLetter"/>
      <w:lvlText w:val="%2."/>
      <w:lvlJc w:val="left"/>
      <w:pPr>
        <w:tabs>
          <w:tab w:val="num" w:pos="1620"/>
        </w:tabs>
        <w:ind w:left="1620" w:hanging="360"/>
      </w:pPr>
      <w:rPr>
        <w:rFonts w:cs="Times New Roman"/>
      </w:rPr>
    </w:lvl>
    <w:lvl w:ilvl="2" w:tplc="0405001B" w:tentative="1">
      <w:start w:val="1"/>
      <w:numFmt w:val="lowerRoman"/>
      <w:lvlText w:val="%3."/>
      <w:lvlJc w:val="right"/>
      <w:pPr>
        <w:tabs>
          <w:tab w:val="num" w:pos="2340"/>
        </w:tabs>
        <w:ind w:left="2340" w:hanging="180"/>
      </w:pPr>
      <w:rPr>
        <w:rFonts w:cs="Times New Roman"/>
      </w:rPr>
    </w:lvl>
    <w:lvl w:ilvl="3" w:tplc="0405000F" w:tentative="1">
      <w:start w:val="1"/>
      <w:numFmt w:val="decimal"/>
      <w:lvlText w:val="%4."/>
      <w:lvlJc w:val="left"/>
      <w:pPr>
        <w:tabs>
          <w:tab w:val="num" w:pos="3060"/>
        </w:tabs>
        <w:ind w:left="3060" w:hanging="360"/>
      </w:pPr>
      <w:rPr>
        <w:rFonts w:cs="Times New Roman"/>
      </w:rPr>
    </w:lvl>
    <w:lvl w:ilvl="4" w:tplc="04050019" w:tentative="1">
      <w:start w:val="1"/>
      <w:numFmt w:val="lowerLetter"/>
      <w:lvlText w:val="%5."/>
      <w:lvlJc w:val="left"/>
      <w:pPr>
        <w:tabs>
          <w:tab w:val="num" w:pos="3780"/>
        </w:tabs>
        <w:ind w:left="3780" w:hanging="360"/>
      </w:pPr>
      <w:rPr>
        <w:rFonts w:cs="Times New Roman"/>
      </w:rPr>
    </w:lvl>
    <w:lvl w:ilvl="5" w:tplc="0405001B" w:tentative="1">
      <w:start w:val="1"/>
      <w:numFmt w:val="lowerRoman"/>
      <w:lvlText w:val="%6."/>
      <w:lvlJc w:val="right"/>
      <w:pPr>
        <w:tabs>
          <w:tab w:val="num" w:pos="4500"/>
        </w:tabs>
        <w:ind w:left="4500" w:hanging="180"/>
      </w:pPr>
      <w:rPr>
        <w:rFonts w:cs="Times New Roman"/>
      </w:rPr>
    </w:lvl>
    <w:lvl w:ilvl="6" w:tplc="0405000F" w:tentative="1">
      <w:start w:val="1"/>
      <w:numFmt w:val="decimal"/>
      <w:lvlText w:val="%7."/>
      <w:lvlJc w:val="left"/>
      <w:pPr>
        <w:tabs>
          <w:tab w:val="num" w:pos="5220"/>
        </w:tabs>
        <w:ind w:left="5220" w:hanging="360"/>
      </w:pPr>
      <w:rPr>
        <w:rFonts w:cs="Times New Roman"/>
      </w:rPr>
    </w:lvl>
    <w:lvl w:ilvl="7" w:tplc="04050019" w:tentative="1">
      <w:start w:val="1"/>
      <w:numFmt w:val="lowerLetter"/>
      <w:lvlText w:val="%8."/>
      <w:lvlJc w:val="left"/>
      <w:pPr>
        <w:tabs>
          <w:tab w:val="num" w:pos="5940"/>
        </w:tabs>
        <w:ind w:left="5940" w:hanging="360"/>
      </w:pPr>
      <w:rPr>
        <w:rFonts w:cs="Times New Roman"/>
      </w:rPr>
    </w:lvl>
    <w:lvl w:ilvl="8" w:tplc="0405001B" w:tentative="1">
      <w:start w:val="1"/>
      <w:numFmt w:val="lowerRoman"/>
      <w:lvlText w:val="%9."/>
      <w:lvlJc w:val="right"/>
      <w:pPr>
        <w:tabs>
          <w:tab w:val="num" w:pos="6660"/>
        </w:tabs>
        <w:ind w:left="6660" w:hanging="180"/>
      </w:pPr>
      <w:rPr>
        <w:rFonts w:cs="Times New Roman"/>
      </w:rPr>
    </w:lvl>
  </w:abstractNum>
  <w:abstractNum w:abstractNumId="4" w15:restartNumberingAfterBreak="0">
    <w:nsid w:val="28E64679"/>
    <w:multiLevelType w:val="hybridMultilevel"/>
    <w:tmpl w:val="8C30B40E"/>
    <w:lvl w:ilvl="0" w:tplc="322AE2BC">
      <w:start w:val="3"/>
      <w:numFmt w:val="lowerLetter"/>
      <w:lvlText w:val="%1)"/>
      <w:lvlJc w:val="left"/>
      <w:pPr>
        <w:tabs>
          <w:tab w:val="num" w:pos="720"/>
        </w:tabs>
        <w:ind w:left="720" w:hanging="360"/>
      </w:pPr>
      <w:rPr>
        <w:rFonts w:cs="Times New Roman"/>
      </w:rPr>
    </w:lvl>
    <w:lvl w:ilvl="1" w:tplc="D3DE84BC">
      <w:start w:val="146"/>
      <w:numFmt w:val="bullet"/>
      <w:lvlText w:val="–"/>
      <w:lvlJc w:val="left"/>
      <w:pPr>
        <w:tabs>
          <w:tab w:val="num" w:pos="1440"/>
        </w:tabs>
        <w:ind w:left="1440" w:hanging="360"/>
      </w:pPr>
      <w:rPr>
        <w:rFonts w:ascii="Arial" w:hAnsi="Arial" w:hint="default"/>
      </w:rPr>
    </w:lvl>
    <w:lvl w:ilvl="2" w:tplc="B7AE15EC" w:tentative="1">
      <w:start w:val="1"/>
      <w:numFmt w:val="lowerLetter"/>
      <w:lvlText w:val="%3)"/>
      <w:lvlJc w:val="left"/>
      <w:pPr>
        <w:tabs>
          <w:tab w:val="num" w:pos="2160"/>
        </w:tabs>
        <w:ind w:left="2160" w:hanging="360"/>
      </w:pPr>
      <w:rPr>
        <w:rFonts w:cs="Times New Roman"/>
      </w:rPr>
    </w:lvl>
    <w:lvl w:ilvl="3" w:tplc="4C7CBA48" w:tentative="1">
      <w:start w:val="1"/>
      <w:numFmt w:val="lowerLetter"/>
      <w:lvlText w:val="%4)"/>
      <w:lvlJc w:val="left"/>
      <w:pPr>
        <w:tabs>
          <w:tab w:val="num" w:pos="2880"/>
        </w:tabs>
        <w:ind w:left="2880" w:hanging="360"/>
      </w:pPr>
      <w:rPr>
        <w:rFonts w:cs="Times New Roman"/>
      </w:rPr>
    </w:lvl>
    <w:lvl w:ilvl="4" w:tplc="07A0C73A" w:tentative="1">
      <w:start w:val="1"/>
      <w:numFmt w:val="lowerLetter"/>
      <w:lvlText w:val="%5)"/>
      <w:lvlJc w:val="left"/>
      <w:pPr>
        <w:tabs>
          <w:tab w:val="num" w:pos="3600"/>
        </w:tabs>
        <w:ind w:left="3600" w:hanging="360"/>
      </w:pPr>
      <w:rPr>
        <w:rFonts w:cs="Times New Roman"/>
      </w:rPr>
    </w:lvl>
    <w:lvl w:ilvl="5" w:tplc="72A0FCBA" w:tentative="1">
      <w:start w:val="1"/>
      <w:numFmt w:val="lowerLetter"/>
      <w:lvlText w:val="%6)"/>
      <w:lvlJc w:val="left"/>
      <w:pPr>
        <w:tabs>
          <w:tab w:val="num" w:pos="4320"/>
        </w:tabs>
        <w:ind w:left="4320" w:hanging="360"/>
      </w:pPr>
      <w:rPr>
        <w:rFonts w:cs="Times New Roman"/>
      </w:rPr>
    </w:lvl>
    <w:lvl w:ilvl="6" w:tplc="2C926A8A" w:tentative="1">
      <w:start w:val="1"/>
      <w:numFmt w:val="lowerLetter"/>
      <w:lvlText w:val="%7)"/>
      <w:lvlJc w:val="left"/>
      <w:pPr>
        <w:tabs>
          <w:tab w:val="num" w:pos="5040"/>
        </w:tabs>
        <w:ind w:left="5040" w:hanging="360"/>
      </w:pPr>
      <w:rPr>
        <w:rFonts w:cs="Times New Roman"/>
      </w:rPr>
    </w:lvl>
    <w:lvl w:ilvl="7" w:tplc="A3BA9AEA" w:tentative="1">
      <w:start w:val="1"/>
      <w:numFmt w:val="lowerLetter"/>
      <w:lvlText w:val="%8)"/>
      <w:lvlJc w:val="left"/>
      <w:pPr>
        <w:tabs>
          <w:tab w:val="num" w:pos="5760"/>
        </w:tabs>
        <w:ind w:left="5760" w:hanging="360"/>
      </w:pPr>
      <w:rPr>
        <w:rFonts w:cs="Times New Roman"/>
      </w:rPr>
    </w:lvl>
    <w:lvl w:ilvl="8" w:tplc="6C66FD94" w:tentative="1">
      <w:start w:val="1"/>
      <w:numFmt w:val="lowerLetter"/>
      <w:lvlText w:val="%9)"/>
      <w:lvlJc w:val="left"/>
      <w:pPr>
        <w:tabs>
          <w:tab w:val="num" w:pos="6480"/>
        </w:tabs>
        <w:ind w:left="6480" w:hanging="360"/>
      </w:pPr>
      <w:rPr>
        <w:rFonts w:cs="Times New Roman"/>
      </w:rPr>
    </w:lvl>
  </w:abstractNum>
  <w:abstractNum w:abstractNumId="5" w15:restartNumberingAfterBreak="0">
    <w:nsid w:val="29347933"/>
    <w:multiLevelType w:val="hybridMultilevel"/>
    <w:tmpl w:val="E8602E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94D72A4"/>
    <w:multiLevelType w:val="hybridMultilevel"/>
    <w:tmpl w:val="8FDEC248"/>
    <w:lvl w:ilvl="0" w:tplc="BFEEA576">
      <w:start w:val="1"/>
      <w:numFmt w:val="bullet"/>
      <w:lvlText w:val="•"/>
      <w:lvlJc w:val="left"/>
      <w:pPr>
        <w:tabs>
          <w:tab w:val="num" w:pos="720"/>
        </w:tabs>
        <w:ind w:left="720" w:hanging="360"/>
      </w:pPr>
      <w:rPr>
        <w:rFonts w:ascii="Calibri" w:hAnsi="Calibri" w:hint="default"/>
      </w:rPr>
    </w:lvl>
    <w:lvl w:ilvl="1" w:tplc="2B12AE14" w:tentative="1">
      <w:start w:val="1"/>
      <w:numFmt w:val="bullet"/>
      <w:lvlText w:val="•"/>
      <w:lvlJc w:val="left"/>
      <w:pPr>
        <w:tabs>
          <w:tab w:val="num" w:pos="1440"/>
        </w:tabs>
        <w:ind w:left="1440" w:hanging="360"/>
      </w:pPr>
      <w:rPr>
        <w:rFonts w:ascii="Calibri" w:hAnsi="Calibri" w:hint="default"/>
      </w:rPr>
    </w:lvl>
    <w:lvl w:ilvl="2" w:tplc="D3668FAE" w:tentative="1">
      <w:start w:val="1"/>
      <w:numFmt w:val="bullet"/>
      <w:lvlText w:val="•"/>
      <w:lvlJc w:val="left"/>
      <w:pPr>
        <w:tabs>
          <w:tab w:val="num" w:pos="2160"/>
        </w:tabs>
        <w:ind w:left="2160" w:hanging="360"/>
      </w:pPr>
      <w:rPr>
        <w:rFonts w:ascii="Calibri" w:hAnsi="Calibri" w:hint="default"/>
      </w:rPr>
    </w:lvl>
    <w:lvl w:ilvl="3" w:tplc="B02E4366" w:tentative="1">
      <w:start w:val="1"/>
      <w:numFmt w:val="bullet"/>
      <w:lvlText w:val="•"/>
      <w:lvlJc w:val="left"/>
      <w:pPr>
        <w:tabs>
          <w:tab w:val="num" w:pos="2880"/>
        </w:tabs>
        <w:ind w:left="2880" w:hanging="360"/>
      </w:pPr>
      <w:rPr>
        <w:rFonts w:ascii="Calibri" w:hAnsi="Calibri" w:hint="default"/>
      </w:rPr>
    </w:lvl>
    <w:lvl w:ilvl="4" w:tplc="FAD8F896" w:tentative="1">
      <w:start w:val="1"/>
      <w:numFmt w:val="bullet"/>
      <w:lvlText w:val="•"/>
      <w:lvlJc w:val="left"/>
      <w:pPr>
        <w:tabs>
          <w:tab w:val="num" w:pos="3600"/>
        </w:tabs>
        <w:ind w:left="3600" w:hanging="360"/>
      </w:pPr>
      <w:rPr>
        <w:rFonts w:ascii="Calibri" w:hAnsi="Calibri" w:hint="default"/>
      </w:rPr>
    </w:lvl>
    <w:lvl w:ilvl="5" w:tplc="230C0454" w:tentative="1">
      <w:start w:val="1"/>
      <w:numFmt w:val="bullet"/>
      <w:lvlText w:val="•"/>
      <w:lvlJc w:val="left"/>
      <w:pPr>
        <w:tabs>
          <w:tab w:val="num" w:pos="4320"/>
        </w:tabs>
        <w:ind w:left="4320" w:hanging="360"/>
      </w:pPr>
      <w:rPr>
        <w:rFonts w:ascii="Calibri" w:hAnsi="Calibri" w:hint="default"/>
      </w:rPr>
    </w:lvl>
    <w:lvl w:ilvl="6" w:tplc="48B0E1F2" w:tentative="1">
      <w:start w:val="1"/>
      <w:numFmt w:val="bullet"/>
      <w:lvlText w:val="•"/>
      <w:lvlJc w:val="left"/>
      <w:pPr>
        <w:tabs>
          <w:tab w:val="num" w:pos="5040"/>
        </w:tabs>
        <w:ind w:left="5040" w:hanging="360"/>
      </w:pPr>
      <w:rPr>
        <w:rFonts w:ascii="Calibri" w:hAnsi="Calibri" w:hint="default"/>
      </w:rPr>
    </w:lvl>
    <w:lvl w:ilvl="7" w:tplc="BB7E5748" w:tentative="1">
      <w:start w:val="1"/>
      <w:numFmt w:val="bullet"/>
      <w:lvlText w:val="•"/>
      <w:lvlJc w:val="left"/>
      <w:pPr>
        <w:tabs>
          <w:tab w:val="num" w:pos="5760"/>
        </w:tabs>
        <w:ind w:left="5760" w:hanging="360"/>
      </w:pPr>
      <w:rPr>
        <w:rFonts w:ascii="Calibri" w:hAnsi="Calibri" w:hint="default"/>
      </w:rPr>
    </w:lvl>
    <w:lvl w:ilvl="8" w:tplc="B63EDCEA"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BD43F24"/>
    <w:multiLevelType w:val="hybridMultilevel"/>
    <w:tmpl w:val="0540C868"/>
    <w:lvl w:ilvl="0" w:tplc="C79E771A">
      <w:start w:val="1"/>
      <w:numFmt w:val="bullet"/>
      <w:lvlText w:val="•"/>
      <w:lvlJc w:val="left"/>
      <w:pPr>
        <w:tabs>
          <w:tab w:val="num" w:pos="720"/>
        </w:tabs>
        <w:ind w:left="720" w:hanging="360"/>
      </w:pPr>
      <w:rPr>
        <w:rFonts w:ascii="Calibri" w:hAnsi="Calibri" w:hint="default"/>
      </w:rPr>
    </w:lvl>
    <w:lvl w:ilvl="1" w:tplc="8E4A476E" w:tentative="1">
      <w:start w:val="1"/>
      <w:numFmt w:val="bullet"/>
      <w:lvlText w:val="•"/>
      <w:lvlJc w:val="left"/>
      <w:pPr>
        <w:tabs>
          <w:tab w:val="num" w:pos="1440"/>
        </w:tabs>
        <w:ind w:left="1440" w:hanging="360"/>
      </w:pPr>
      <w:rPr>
        <w:rFonts w:ascii="Calibri" w:hAnsi="Calibri" w:hint="default"/>
      </w:rPr>
    </w:lvl>
    <w:lvl w:ilvl="2" w:tplc="D37E0596" w:tentative="1">
      <w:start w:val="1"/>
      <w:numFmt w:val="bullet"/>
      <w:lvlText w:val="•"/>
      <w:lvlJc w:val="left"/>
      <w:pPr>
        <w:tabs>
          <w:tab w:val="num" w:pos="2160"/>
        </w:tabs>
        <w:ind w:left="2160" w:hanging="360"/>
      </w:pPr>
      <w:rPr>
        <w:rFonts w:ascii="Calibri" w:hAnsi="Calibri" w:hint="default"/>
      </w:rPr>
    </w:lvl>
    <w:lvl w:ilvl="3" w:tplc="C1B84A92" w:tentative="1">
      <w:start w:val="1"/>
      <w:numFmt w:val="bullet"/>
      <w:lvlText w:val="•"/>
      <w:lvlJc w:val="left"/>
      <w:pPr>
        <w:tabs>
          <w:tab w:val="num" w:pos="2880"/>
        </w:tabs>
        <w:ind w:left="2880" w:hanging="360"/>
      </w:pPr>
      <w:rPr>
        <w:rFonts w:ascii="Calibri" w:hAnsi="Calibri" w:hint="default"/>
      </w:rPr>
    </w:lvl>
    <w:lvl w:ilvl="4" w:tplc="29726404" w:tentative="1">
      <w:start w:val="1"/>
      <w:numFmt w:val="bullet"/>
      <w:lvlText w:val="•"/>
      <w:lvlJc w:val="left"/>
      <w:pPr>
        <w:tabs>
          <w:tab w:val="num" w:pos="3600"/>
        </w:tabs>
        <w:ind w:left="3600" w:hanging="360"/>
      </w:pPr>
      <w:rPr>
        <w:rFonts w:ascii="Calibri" w:hAnsi="Calibri" w:hint="default"/>
      </w:rPr>
    </w:lvl>
    <w:lvl w:ilvl="5" w:tplc="8376EAC2" w:tentative="1">
      <w:start w:val="1"/>
      <w:numFmt w:val="bullet"/>
      <w:lvlText w:val="•"/>
      <w:lvlJc w:val="left"/>
      <w:pPr>
        <w:tabs>
          <w:tab w:val="num" w:pos="4320"/>
        </w:tabs>
        <w:ind w:left="4320" w:hanging="360"/>
      </w:pPr>
      <w:rPr>
        <w:rFonts w:ascii="Calibri" w:hAnsi="Calibri" w:hint="default"/>
      </w:rPr>
    </w:lvl>
    <w:lvl w:ilvl="6" w:tplc="A4E09464" w:tentative="1">
      <w:start w:val="1"/>
      <w:numFmt w:val="bullet"/>
      <w:lvlText w:val="•"/>
      <w:lvlJc w:val="left"/>
      <w:pPr>
        <w:tabs>
          <w:tab w:val="num" w:pos="5040"/>
        </w:tabs>
        <w:ind w:left="5040" w:hanging="360"/>
      </w:pPr>
      <w:rPr>
        <w:rFonts w:ascii="Calibri" w:hAnsi="Calibri" w:hint="default"/>
      </w:rPr>
    </w:lvl>
    <w:lvl w:ilvl="7" w:tplc="6226E6B0" w:tentative="1">
      <w:start w:val="1"/>
      <w:numFmt w:val="bullet"/>
      <w:lvlText w:val="•"/>
      <w:lvlJc w:val="left"/>
      <w:pPr>
        <w:tabs>
          <w:tab w:val="num" w:pos="5760"/>
        </w:tabs>
        <w:ind w:left="5760" w:hanging="360"/>
      </w:pPr>
      <w:rPr>
        <w:rFonts w:ascii="Calibri" w:hAnsi="Calibri" w:hint="default"/>
      </w:rPr>
    </w:lvl>
    <w:lvl w:ilvl="8" w:tplc="6CB4D604" w:tentative="1">
      <w:start w:val="1"/>
      <w:numFmt w:val="bullet"/>
      <w:lvlText w:val="•"/>
      <w:lvlJc w:val="left"/>
      <w:pPr>
        <w:tabs>
          <w:tab w:val="num" w:pos="6480"/>
        </w:tabs>
        <w:ind w:left="6480" w:hanging="360"/>
      </w:pPr>
      <w:rPr>
        <w:rFonts w:ascii="Calibri" w:hAnsi="Calibri" w:hint="default"/>
      </w:rPr>
    </w:lvl>
  </w:abstractNum>
  <w:abstractNum w:abstractNumId="8" w15:restartNumberingAfterBreak="0">
    <w:nsid w:val="5C690062"/>
    <w:multiLevelType w:val="hybridMultilevel"/>
    <w:tmpl w:val="DE9207DE"/>
    <w:lvl w:ilvl="0" w:tplc="130067FA">
      <w:start w:val="1"/>
      <w:numFmt w:val="bullet"/>
      <w:lvlText w:val="×"/>
      <w:lvlJc w:val="left"/>
      <w:pPr>
        <w:tabs>
          <w:tab w:val="num" w:pos="720"/>
        </w:tabs>
        <w:ind w:left="720" w:hanging="360"/>
      </w:pPr>
      <w:rPr>
        <w:rFonts w:ascii="Calibri" w:hAnsi="Calibri" w:hint="default"/>
      </w:rPr>
    </w:lvl>
    <w:lvl w:ilvl="1" w:tplc="5C3AA0D0" w:tentative="1">
      <w:start w:val="1"/>
      <w:numFmt w:val="bullet"/>
      <w:lvlText w:val="×"/>
      <w:lvlJc w:val="left"/>
      <w:pPr>
        <w:tabs>
          <w:tab w:val="num" w:pos="1440"/>
        </w:tabs>
        <w:ind w:left="1440" w:hanging="360"/>
      </w:pPr>
      <w:rPr>
        <w:rFonts w:ascii="Calibri" w:hAnsi="Calibri" w:hint="default"/>
      </w:rPr>
    </w:lvl>
    <w:lvl w:ilvl="2" w:tplc="F3E6791C" w:tentative="1">
      <w:start w:val="1"/>
      <w:numFmt w:val="bullet"/>
      <w:lvlText w:val="×"/>
      <w:lvlJc w:val="left"/>
      <w:pPr>
        <w:tabs>
          <w:tab w:val="num" w:pos="2160"/>
        </w:tabs>
        <w:ind w:left="2160" w:hanging="360"/>
      </w:pPr>
      <w:rPr>
        <w:rFonts w:ascii="Calibri" w:hAnsi="Calibri" w:hint="default"/>
      </w:rPr>
    </w:lvl>
    <w:lvl w:ilvl="3" w:tplc="A0C2B114" w:tentative="1">
      <w:start w:val="1"/>
      <w:numFmt w:val="bullet"/>
      <w:lvlText w:val="×"/>
      <w:lvlJc w:val="left"/>
      <w:pPr>
        <w:tabs>
          <w:tab w:val="num" w:pos="2880"/>
        </w:tabs>
        <w:ind w:left="2880" w:hanging="360"/>
      </w:pPr>
      <w:rPr>
        <w:rFonts w:ascii="Calibri" w:hAnsi="Calibri" w:hint="default"/>
      </w:rPr>
    </w:lvl>
    <w:lvl w:ilvl="4" w:tplc="E8BAB9A0" w:tentative="1">
      <w:start w:val="1"/>
      <w:numFmt w:val="bullet"/>
      <w:lvlText w:val="×"/>
      <w:lvlJc w:val="left"/>
      <w:pPr>
        <w:tabs>
          <w:tab w:val="num" w:pos="3600"/>
        </w:tabs>
        <w:ind w:left="3600" w:hanging="360"/>
      </w:pPr>
      <w:rPr>
        <w:rFonts w:ascii="Calibri" w:hAnsi="Calibri" w:hint="default"/>
      </w:rPr>
    </w:lvl>
    <w:lvl w:ilvl="5" w:tplc="A2E0F8A0" w:tentative="1">
      <w:start w:val="1"/>
      <w:numFmt w:val="bullet"/>
      <w:lvlText w:val="×"/>
      <w:lvlJc w:val="left"/>
      <w:pPr>
        <w:tabs>
          <w:tab w:val="num" w:pos="4320"/>
        </w:tabs>
        <w:ind w:left="4320" w:hanging="360"/>
      </w:pPr>
      <w:rPr>
        <w:rFonts w:ascii="Calibri" w:hAnsi="Calibri" w:hint="default"/>
      </w:rPr>
    </w:lvl>
    <w:lvl w:ilvl="6" w:tplc="D4184E9C" w:tentative="1">
      <w:start w:val="1"/>
      <w:numFmt w:val="bullet"/>
      <w:lvlText w:val="×"/>
      <w:lvlJc w:val="left"/>
      <w:pPr>
        <w:tabs>
          <w:tab w:val="num" w:pos="5040"/>
        </w:tabs>
        <w:ind w:left="5040" w:hanging="360"/>
      </w:pPr>
      <w:rPr>
        <w:rFonts w:ascii="Calibri" w:hAnsi="Calibri" w:hint="default"/>
      </w:rPr>
    </w:lvl>
    <w:lvl w:ilvl="7" w:tplc="3FF4D772" w:tentative="1">
      <w:start w:val="1"/>
      <w:numFmt w:val="bullet"/>
      <w:lvlText w:val="×"/>
      <w:lvlJc w:val="left"/>
      <w:pPr>
        <w:tabs>
          <w:tab w:val="num" w:pos="5760"/>
        </w:tabs>
        <w:ind w:left="5760" w:hanging="360"/>
      </w:pPr>
      <w:rPr>
        <w:rFonts w:ascii="Calibri" w:hAnsi="Calibri" w:hint="default"/>
      </w:rPr>
    </w:lvl>
    <w:lvl w:ilvl="8" w:tplc="EFA40C58" w:tentative="1">
      <w:start w:val="1"/>
      <w:numFmt w:val="bullet"/>
      <w:lvlText w:val="×"/>
      <w:lvlJc w:val="left"/>
      <w:pPr>
        <w:tabs>
          <w:tab w:val="num" w:pos="6480"/>
        </w:tabs>
        <w:ind w:left="6480" w:hanging="360"/>
      </w:pPr>
      <w:rPr>
        <w:rFonts w:ascii="Calibri" w:hAnsi="Calibri" w:hint="default"/>
      </w:rPr>
    </w:lvl>
  </w:abstractNum>
  <w:abstractNum w:abstractNumId="9" w15:restartNumberingAfterBreak="0">
    <w:nsid w:val="5FD54266"/>
    <w:multiLevelType w:val="hybridMultilevel"/>
    <w:tmpl w:val="E8602E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10A0B3D"/>
    <w:multiLevelType w:val="hybridMultilevel"/>
    <w:tmpl w:val="8AEE3A34"/>
    <w:lvl w:ilvl="0" w:tplc="04050001">
      <w:start w:val="1"/>
      <w:numFmt w:val="bullet"/>
      <w:lvlText w:val=""/>
      <w:lvlJc w:val="left"/>
      <w:pPr>
        <w:tabs>
          <w:tab w:val="num" w:pos="1260"/>
        </w:tabs>
        <w:ind w:left="1260" w:hanging="360"/>
      </w:pPr>
      <w:rPr>
        <w:rFonts w:ascii="Symbol" w:hAnsi="Symbol" w:hint="default"/>
      </w:rPr>
    </w:lvl>
    <w:lvl w:ilvl="1" w:tplc="04050003">
      <w:start w:val="1"/>
      <w:numFmt w:val="bullet"/>
      <w:lvlText w:val="o"/>
      <w:lvlJc w:val="left"/>
      <w:pPr>
        <w:tabs>
          <w:tab w:val="num" w:pos="1980"/>
        </w:tabs>
        <w:ind w:left="1980" w:hanging="360"/>
      </w:pPr>
      <w:rPr>
        <w:rFonts w:ascii="Courier New" w:hAnsi="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num w:numId="1">
    <w:abstractNumId w:val="10"/>
  </w:num>
  <w:num w:numId="2">
    <w:abstractNumId w:val="3"/>
  </w:num>
  <w:num w:numId="3">
    <w:abstractNumId w:val="1"/>
  </w:num>
  <w:num w:numId="4">
    <w:abstractNumId w:val="2"/>
  </w:num>
  <w:num w:numId="5">
    <w:abstractNumId w:val="4"/>
  </w:num>
  <w:num w:numId="6">
    <w:abstractNumId w:val="7"/>
  </w:num>
  <w:num w:numId="7">
    <w:abstractNumId w:val="0"/>
  </w:num>
  <w:num w:numId="8">
    <w:abstractNumId w:val="8"/>
  </w:num>
  <w:num w:numId="9">
    <w:abstractNumId w:val="6"/>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B78"/>
    <w:rsid w:val="00002F20"/>
    <w:rsid w:val="00003A9E"/>
    <w:rsid w:val="00031493"/>
    <w:rsid w:val="0004067C"/>
    <w:rsid w:val="00043F3E"/>
    <w:rsid w:val="00046C14"/>
    <w:rsid w:val="0005111C"/>
    <w:rsid w:val="00063A7E"/>
    <w:rsid w:val="00074013"/>
    <w:rsid w:val="00076DD9"/>
    <w:rsid w:val="00092783"/>
    <w:rsid w:val="0009743F"/>
    <w:rsid w:val="000B5E1B"/>
    <w:rsid w:val="000C5F2F"/>
    <w:rsid w:val="000C6450"/>
    <w:rsid w:val="000C67EB"/>
    <w:rsid w:val="000C7ABC"/>
    <w:rsid w:val="000D6EF4"/>
    <w:rsid w:val="000E254A"/>
    <w:rsid w:val="000E3ACB"/>
    <w:rsid w:val="000E5A13"/>
    <w:rsid w:val="000E7F46"/>
    <w:rsid w:val="00111049"/>
    <w:rsid w:val="001205E4"/>
    <w:rsid w:val="00126034"/>
    <w:rsid w:val="00126275"/>
    <w:rsid w:val="00126650"/>
    <w:rsid w:val="00127B9A"/>
    <w:rsid w:val="00140E86"/>
    <w:rsid w:val="001436F0"/>
    <w:rsid w:val="00152334"/>
    <w:rsid w:val="00155C65"/>
    <w:rsid w:val="00157549"/>
    <w:rsid w:val="00157688"/>
    <w:rsid w:val="001624D8"/>
    <w:rsid w:val="001669AA"/>
    <w:rsid w:val="00180E42"/>
    <w:rsid w:val="001819FA"/>
    <w:rsid w:val="0018378C"/>
    <w:rsid w:val="00186B18"/>
    <w:rsid w:val="00191123"/>
    <w:rsid w:val="00191E5A"/>
    <w:rsid w:val="001B116C"/>
    <w:rsid w:val="001C1B55"/>
    <w:rsid w:val="001C72DD"/>
    <w:rsid w:val="001D0ED5"/>
    <w:rsid w:val="001D3601"/>
    <w:rsid w:val="001E482D"/>
    <w:rsid w:val="001F16E4"/>
    <w:rsid w:val="002029BA"/>
    <w:rsid w:val="00207EF4"/>
    <w:rsid w:val="00231D0E"/>
    <w:rsid w:val="002321E5"/>
    <w:rsid w:val="00232549"/>
    <w:rsid w:val="00233E0A"/>
    <w:rsid w:val="00234BE7"/>
    <w:rsid w:val="00247C45"/>
    <w:rsid w:val="00254677"/>
    <w:rsid w:val="00257956"/>
    <w:rsid w:val="0026435E"/>
    <w:rsid w:val="00292208"/>
    <w:rsid w:val="00293E46"/>
    <w:rsid w:val="002A1EB2"/>
    <w:rsid w:val="002B3BA5"/>
    <w:rsid w:val="002B4198"/>
    <w:rsid w:val="002C5CE2"/>
    <w:rsid w:val="002C6D12"/>
    <w:rsid w:val="002D2C81"/>
    <w:rsid w:val="002D39EB"/>
    <w:rsid w:val="002E2365"/>
    <w:rsid w:val="002E356D"/>
    <w:rsid w:val="002F307D"/>
    <w:rsid w:val="002F3FFD"/>
    <w:rsid w:val="002F61EF"/>
    <w:rsid w:val="002F66C2"/>
    <w:rsid w:val="002F75AA"/>
    <w:rsid w:val="002F7D8A"/>
    <w:rsid w:val="00302550"/>
    <w:rsid w:val="00310AC3"/>
    <w:rsid w:val="003210D4"/>
    <w:rsid w:val="00330EF7"/>
    <w:rsid w:val="00341A13"/>
    <w:rsid w:val="00341DBB"/>
    <w:rsid w:val="003474D6"/>
    <w:rsid w:val="00350A3F"/>
    <w:rsid w:val="00352292"/>
    <w:rsid w:val="00354287"/>
    <w:rsid w:val="003620FB"/>
    <w:rsid w:val="00380F09"/>
    <w:rsid w:val="00387D91"/>
    <w:rsid w:val="00393BB3"/>
    <w:rsid w:val="003A1E8B"/>
    <w:rsid w:val="003A38EC"/>
    <w:rsid w:val="003B356D"/>
    <w:rsid w:val="003B39A9"/>
    <w:rsid w:val="003C1050"/>
    <w:rsid w:val="003D54CC"/>
    <w:rsid w:val="003E0D2F"/>
    <w:rsid w:val="003E2304"/>
    <w:rsid w:val="003F3E5B"/>
    <w:rsid w:val="003F5E1F"/>
    <w:rsid w:val="004127DB"/>
    <w:rsid w:val="004132F2"/>
    <w:rsid w:val="00413D6E"/>
    <w:rsid w:val="0042340D"/>
    <w:rsid w:val="004247A7"/>
    <w:rsid w:val="00430DF3"/>
    <w:rsid w:val="004400E8"/>
    <w:rsid w:val="00442ABB"/>
    <w:rsid w:val="00454EB3"/>
    <w:rsid w:val="00491527"/>
    <w:rsid w:val="004A7B3B"/>
    <w:rsid w:val="004B06BE"/>
    <w:rsid w:val="004B3EBC"/>
    <w:rsid w:val="004B656D"/>
    <w:rsid w:val="004B68A2"/>
    <w:rsid w:val="004C5EF8"/>
    <w:rsid w:val="004D5DD4"/>
    <w:rsid w:val="004D600F"/>
    <w:rsid w:val="004D6196"/>
    <w:rsid w:val="004E07D9"/>
    <w:rsid w:val="004E3543"/>
    <w:rsid w:val="004F6A8D"/>
    <w:rsid w:val="00511A3E"/>
    <w:rsid w:val="005125C4"/>
    <w:rsid w:val="00516556"/>
    <w:rsid w:val="00517E9A"/>
    <w:rsid w:val="005202D9"/>
    <w:rsid w:val="00533A1B"/>
    <w:rsid w:val="005649FC"/>
    <w:rsid w:val="00586487"/>
    <w:rsid w:val="005916BE"/>
    <w:rsid w:val="00591CF4"/>
    <w:rsid w:val="00591D8D"/>
    <w:rsid w:val="005934B2"/>
    <w:rsid w:val="005A3231"/>
    <w:rsid w:val="005A5F59"/>
    <w:rsid w:val="005C2D0D"/>
    <w:rsid w:val="005D0997"/>
    <w:rsid w:val="005E5247"/>
    <w:rsid w:val="005E7A11"/>
    <w:rsid w:val="005F7BCC"/>
    <w:rsid w:val="00602830"/>
    <w:rsid w:val="00603A85"/>
    <w:rsid w:val="00611860"/>
    <w:rsid w:val="00611A87"/>
    <w:rsid w:val="0061791F"/>
    <w:rsid w:val="00630381"/>
    <w:rsid w:val="00630D00"/>
    <w:rsid w:val="00640B9A"/>
    <w:rsid w:val="006535C2"/>
    <w:rsid w:val="00663B84"/>
    <w:rsid w:val="006665E4"/>
    <w:rsid w:val="0068662C"/>
    <w:rsid w:val="00692853"/>
    <w:rsid w:val="00695E2B"/>
    <w:rsid w:val="00697993"/>
    <w:rsid w:val="006B632E"/>
    <w:rsid w:val="006B71CB"/>
    <w:rsid w:val="006C7949"/>
    <w:rsid w:val="006D01EF"/>
    <w:rsid w:val="006D0F2E"/>
    <w:rsid w:val="006E07A6"/>
    <w:rsid w:val="006E4359"/>
    <w:rsid w:val="006F15A4"/>
    <w:rsid w:val="006F365F"/>
    <w:rsid w:val="006F6245"/>
    <w:rsid w:val="00704054"/>
    <w:rsid w:val="00717DFB"/>
    <w:rsid w:val="00724DB6"/>
    <w:rsid w:val="0072783C"/>
    <w:rsid w:val="00731C82"/>
    <w:rsid w:val="00754FAC"/>
    <w:rsid w:val="00764B84"/>
    <w:rsid w:val="00766555"/>
    <w:rsid w:val="00771FFB"/>
    <w:rsid w:val="0079237C"/>
    <w:rsid w:val="007A7FF4"/>
    <w:rsid w:val="007B4D45"/>
    <w:rsid w:val="007C7CFF"/>
    <w:rsid w:val="007D0215"/>
    <w:rsid w:val="007D284E"/>
    <w:rsid w:val="007F09D1"/>
    <w:rsid w:val="007F7A34"/>
    <w:rsid w:val="00803576"/>
    <w:rsid w:val="008045BB"/>
    <w:rsid w:val="008121CF"/>
    <w:rsid w:val="0082108B"/>
    <w:rsid w:val="00830B1A"/>
    <w:rsid w:val="00830C47"/>
    <w:rsid w:val="00831921"/>
    <w:rsid w:val="00853F5B"/>
    <w:rsid w:val="00857E3D"/>
    <w:rsid w:val="008676E3"/>
    <w:rsid w:val="00871427"/>
    <w:rsid w:val="00881B90"/>
    <w:rsid w:val="00893588"/>
    <w:rsid w:val="008A0E74"/>
    <w:rsid w:val="008A7ACF"/>
    <w:rsid w:val="008B2015"/>
    <w:rsid w:val="008B5A97"/>
    <w:rsid w:val="008C55A5"/>
    <w:rsid w:val="008C6CD4"/>
    <w:rsid w:val="008D3859"/>
    <w:rsid w:val="008E5A88"/>
    <w:rsid w:val="008E6308"/>
    <w:rsid w:val="008F549C"/>
    <w:rsid w:val="00900A64"/>
    <w:rsid w:val="00901CFF"/>
    <w:rsid w:val="009225BA"/>
    <w:rsid w:val="009252E9"/>
    <w:rsid w:val="00934B9F"/>
    <w:rsid w:val="0094098B"/>
    <w:rsid w:val="009450AC"/>
    <w:rsid w:val="00960F30"/>
    <w:rsid w:val="009667A1"/>
    <w:rsid w:val="00966B78"/>
    <w:rsid w:val="0098499E"/>
    <w:rsid w:val="00987BBC"/>
    <w:rsid w:val="009907FD"/>
    <w:rsid w:val="00993AF2"/>
    <w:rsid w:val="009956EE"/>
    <w:rsid w:val="009B1DB7"/>
    <w:rsid w:val="009C0413"/>
    <w:rsid w:val="009C15EA"/>
    <w:rsid w:val="009C2A8D"/>
    <w:rsid w:val="009E163F"/>
    <w:rsid w:val="009F2210"/>
    <w:rsid w:val="009F39DB"/>
    <w:rsid w:val="009F7ABC"/>
    <w:rsid w:val="00A0576F"/>
    <w:rsid w:val="00A06390"/>
    <w:rsid w:val="00A365E0"/>
    <w:rsid w:val="00A47059"/>
    <w:rsid w:val="00A47EDD"/>
    <w:rsid w:val="00A649DB"/>
    <w:rsid w:val="00A714CE"/>
    <w:rsid w:val="00A74FB8"/>
    <w:rsid w:val="00A75391"/>
    <w:rsid w:val="00A76BB3"/>
    <w:rsid w:val="00A80106"/>
    <w:rsid w:val="00A84492"/>
    <w:rsid w:val="00A872AB"/>
    <w:rsid w:val="00A87874"/>
    <w:rsid w:val="00AA698E"/>
    <w:rsid w:val="00AA6A01"/>
    <w:rsid w:val="00AB7049"/>
    <w:rsid w:val="00AB7CF6"/>
    <w:rsid w:val="00AB7D9A"/>
    <w:rsid w:val="00AD56E9"/>
    <w:rsid w:val="00AD7EB4"/>
    <w:rsid w:val="00AE0B0C"/>
    <w:rsid w:val="00AE1EC7"/>
    <w:rsid w:val="00B043FA"/>
    <w:rsid w:val="00B06560"/>
    <w:rsid w:val="00B0701D"/>
    <w:rsid w:val="00B26121"/>
    <w:rsid w:val="00B3498C"/>
    <w:rsid w:val="00B3503E"/>
    <w:rsid w:val="00B7169B"/>
    <w:rsid w:val="00B974C8"/>
    <w:rsid w:val="00BA28D0"/>
    <w:rsid w:val="00BB2297"/>
    <w:rsid w:val="00BB2A8D"/>
    <w:rsid w:val="00BB467D"/>
    <w:rsid w:val="00BC3790"/>
    <w:rsid w:val="00BC47DD"/>
    <w:rsid w:val="00BC4D03"/>
    <w:rsid w:val="00BF3F14"/>
    <w:rsid w:val="00BF78EC"/>
    <w:rsid w:val="00C175ED"/>
    <w:rsid w:val="00C37368"/>
    <w:rsid w:val="00C376C1"/>
    <w:rsid w:val="00C52657"/>
    <w:rsid w:val="00C52DF1"/>
    <w:rsid w:val="00C54B20"/>
    <w:rsid w:val="00C64466"/>
    <w:rsid w:val="00C6719B"/>
    <w:rsid w:val="00C754B4"/>
    <w:rsid w:val="00C76335"/>
    <w:rsid w:val="00C77EED"/>
    <w:rsid w:val="00C85503"/>
    <w:rsid w:val="00C85AD9"/>
    <w:rsid w:val="00C91E90"/>
    <w:rsid w:val="00CB2362"/>
    <w:rsid w:val="00CB3ABB"/>
    <w:rsid w:val="00CC24F9"/>
    <w:rsid w:val="00CD0CA9"/>
    <w:rsid w:val="00CD1EF9"/>
    <w:rsid w:val="00D0322B"/>
    <w:rsid w:val="00D07B88"/>
    <w:rsid w:val="00D07F02"/>
    <w:rsid w:val="00D138FB"/>
    <w:rsid w:val="00D417F4"/>
    <w:rsid w:val="00D41F42"/>
    <w:rsid w:val="00D44B1B"/>
    <w:rsid w:val="00D46AFD"/>
    <w:rsid w:val="00D46E2A"/>
    <w:rsid w:val="00D50D61"/>
    <w:rsid w:val="00D723F3"/>
    <w:rsid w:val="00D80180"/>
    <w:rsid w:val="00D834A8"/>
    <w:rsid w:val="00D83D41"/>
    <w:rsid w:val="00D84BA1"/>
    <w:rsid w:val="00D96BD9"/>
    <w:rsid w:val="00DA4216"/>
    <w:rsid w:val="00DB3518"/>
    <w:rsid w:val="00DD2083"/>
    <w:rsid w:val="00DD458A"/>
    <w:rsid w:val="00DE350D"/>
    <w:rsid w:val="00DF1DBC"/>
    <w:rsid w:val="00DF434B"/>
    <w:rsid w:val="00DF4AC3"/>
    <w:rsid w:val="00DF745E"/>
    <w:rsid w:val="00E00CAE"/>
    <w:rsid w:val="00E07E2D"/>
    <w:rsid w:val="00E14887"/>
    <w:rsid w:val="00E24883"/>
    <w:rsid w:val="00E33266"/>
    <w:rsid w:val="00E33B21"/>
    <w:rsid w:val="00E345EC"/>
    <w:rsid w:val="00E3694B"/>
    <w:rsid w:val="00E40A4A"/>
    <w:rsid w:val="00E43B56"/>
    <w:rsid w:val="00E520C4"/>
    <w:rsid w:val="00E660EA"/>
    <w:rsid w:val="00E73CC2"/>
    <w:rsid w:val="00E80C2C"/>
    <w:rsid w:val="00E80E75"/>
    <w:rsid w:val="00E84D99"/>
    <w:rsid w:val="00E928F5"/>
    <w:rsid w:val="00E93DE0"/>
    <w:rsid w:val="00EB0A48"/>
    <w:rsid w:val="00EB0DBF"/>
    <w:rsid w:val="00EB6212"/>
    <w:rsid w:val="00EB6422"/>
    <w:rsid w:val="00EB7EF1"/>
    <w:rsid w:val="00EC5B7C"/>
    <w:rsid w:val="00ED00DC"/>
    <w:rsid w:val="00ED147E"/>
    <w:rsid w:val="00EE2835"/>
    <w:rsid w:val="00EE3999"/>
    <w:rsid w:val="00F05E27"/>
    <w:rsid w:val="00F07852"/>
    <w:rsid w:val="00F17341"/>
    <w:rsid w:val="00F248A6"/>
    <w:rsid w:val="00F34DE1"/>
    <w:rsid w:val="00F36E83"/>
    <w:rsid w:val="00F3730A"/>
    <w:rsid w:val="00F450E3"/>
    <w:rsid w:val="00F4747A"/>
    <w:rsid w:val="00F54EBA"/>
    <w:rsid w:val="00F705A8"/>
    <w:rsid w:val="00F75340"/>
    <w:rsid w:val="00F82AC0"/>
    <w:rsid w:val="00F855DC"/>
    <w:rsid w:val="00F91662"/>
    <w:rsid w:val="00F97044"/>
    <w:rsid w:val="00FA2C88"/>
    <w:rsid w:val="00FC04C4"/>
    <w:rsid w:val="00FC23AE"/>
    <w:rsid w:val="00FD03B8"/>
    <w:rsid w:val="00FD6B42"/>
    <w:rsid w:val="00FE2447"/>
    <w:rsid w:val="00FE48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6936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F307D"/>
    <w:rPr>
      <w:rFonts w:ascii="Calibri" w:hAnsi="Calibri"/>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istParagraph1">
    <w:name w:val="List Paragraph1"/>
    <w:basedOn w:val="Normln"/>
    <w:uiPriority w:val="99"/>
    <w:rsid w:val="008045BB"/>
    <w:pPr>
      <w:ind w:left="720"/>
    </w:pPr>
    <w:rPr>
      <w:szCs w:val="22"/>
      <w:lang w:eastAsia="en-US"/>
    </w:rPr>
  </w:style>
  <w:style w:type="character" w:styleId="Hypertextovodkaz">
    <w:name w:val="Hyperlink"/>
    <w:basedOn w:val="Standardnpsmoodstavce"/>
    <w:uiPriority w:val="99"/>
    <w:rsid w:val="00F05E27"/>
    <w:rPr>
      <w:rFonts w:cs="Times New Roman"/>
      <w:color w:val="0000FF"/>
      <w:u w:val="single"/>
    </w:rPr>
  </w:style>
  <w:style w:type="paragraph" w:styleId="Zhlav">
    <w:name w:val="header"/>
    <w:basedOn w:val="Normln"/>
    <w:link w:val="ZhlavChar"/>
    <w:uiPriority w:val="99"/>
    <w:rsid w:val="00F05E27"/>
    <w:pPr>
      <w:tabs>
        <w:tab w:val="center" w:pos="4536"/>
        <w:tab w:val="right" w:pos="9072"/>
      </w:tabs>
    </w:pPr>
  </w:style>
  <w:style w:type="character" w:customStyle="1" w:styleId="ZhlavChar">
    <w:name w:val="Záhlaví Char"/>
    <w:basedOn w:val="Standardnpsmoodstavce"/>
    <w:link w:val="Zhlav"/>
    <w:uiPriority w:val="99"/>
    <w:semiHidden/>
    <w:locked/>
    <w:rsid w:val="00CB2362"/>
    <w:rPr>
      <w:rFonts w:ascii="Calibri" w:hAnsi="Calibri" w:cs="Times New Roman"/>
      <w:sz w:val="24"/>
      <w:szCs w:val="24"/>
    </w:rPr>
  </w:style>
  <w:style w:type="paragraph" w:styleId="Zpat">
    <w:name w:val="footer"/>
    <w:basedOn w:val="Normln"/>
    <w:link w:val="ZpatChar"/>
    <w:uiPriority w:val="99"/>
    <w:rsid w:val="00F05E27"/>
    <w:pPr>
      <w:tabs>
        <w:tab w:val="center" w:pos="4536"/>
        <w:tab w:val="right" w:pos="9072"/>
      </w:tabs>
    </w:pPr>
  </w:style>
  <w:style w:type="character" w:customStyle="1" w:styleId="ZpatChar">
    <w:name w:val="Zápatí Char"/>
    <w:basedOn w:val="Standardnpsmoodstavce"/>
    <w:link w:val="Zpat"/>
    <w:uiPriority w:val="99"/>
    <w:semiHidden/>
    <w:locked/>
    <w:rsid w:val="00CB2362"/>
    <w:rPr>
      <w:rFonts w:ascii="Calibri" w:hAnsi="Calibri" w:cs="Times New Roman"/>
      <w:sz w:val="24"/>
      <w:szCs w:val="24"/>
    </w:rPr>
  </w:style>
  <w:style w:type="character" w:customStyle="1" w:styleId="apple-converted-space">
    <w:name w:val="apple-converted-space"/>
    <w:basedOn w:val="Standardnpsmoodstavce"/>
    <w:uiPriority w:val="99"/>
    <w:rsid w:val="00140E86"/>
    <w:rPr>
      <w:rFonts w:cs="Times New Roman"/>
    </w:rPr>
  </w:style>
  <w:style w:type="paragraph" w:styleId="Textbubliny">
    <w:name w:val="Balloon Text"/>
    <w:basedOn w:val="Normln"/>
    <w:link w:val="TextbublinyChar"/>
    <w:uiPriority w:val="99"/>
    <w:semiHidden/>
    <w:rsid w:val="00AD56E9"/>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CC24F9"/>
    <w:rPr>
      <w:rFonts w:cs="Times New Roman"/>
      <w:sz w:val="2"/>
    </w:rPr>
  </w:style>
  <w:style w:type="paragraph" w:customStyle="1" w:styleId="Default">
    <w:name w:val="Default"/>
    <w:uiPriority w:val="99"/>
    <w:rsid w:val="009F2210"/>
    <w:pPr>
      <w:autoSpaceDE w:val="0"/>
      <w:autoSpaceDN w:val="0"/>
      <w:adjustRightInd w:val="0"/>
    </w:pPr>
    <w:rPr>
      <w:rFonts w:ascii="Calibri" w:hAnsi="Calibri" w:cs="Calibri"/>
      <w:color w:val="000000"/>
      <w:sz w:val="24"/>
      <w:szCs w:val="24"/>
    </w:rPr>
  </w:style>
  <w:style w:type="character" w:customStyle="1" w:styleId="EmailStyle25">
    <w:name w:val="EmailStyle25"/>
    <w:basedOn w:val="Standardnpsmoodstavce"/>
    <w:uiPriority w:val="99"/>
    <w:semiHidden/>
    <w:rsid w:val="002F66C2"/>
    <w:rPr>
      <w:rFonts w:ascii="Arial" w:hAnsi="Arial" w:cs="Arial"/>
      <w:color w:val="auto"/>
      <w:sz w:val="20"/>
      <w:szCs w:val="20"/>
    </w:rPr>
  </w:style>
  <w:style w:type="paragraph" w:styleId="Normlnweb">
    <w:name w:val="Normal (Web)"/>
    <w:basedOn w:val="Normln"/>
    <w:uiPriority w:val="99"/>
    <w:semiHidden/>
    <w:unhideWhenUsed/>
    <w:rsid w:val="003E0D2F"/>
    <w:pPr>
      <w:spacing w:before="100" w:beforeAutospacing="1" w:after="100" w:afterAutospacing="1"/>
    </w:pPr>
    <w:rPr>
      <w:rFonts w:ascii="Times New Roman" w:hAnsi="Times New Roman"/>
      <w:sz w:val="24"/>
    </w:rPr>
  </w:style>
  <w:style w:type="character" w:styleId="Zdraznn">
    <w:name w:val="Emphasis"/>
    <w:basedOn w:val="Standardnpsmoodstavce"/>
    <w:uiPriority w:val="20"/>
    <w:qFormat/>
    <w:locked/>
    <w:rsid w:val="003E0D2F"/>
    <w:rPr>
      <w:i/>
      <w:iCs/>
    </w:rPr>
  </w:style>
  <w:style w:type="paragraph" w:styleId="Odstavecseseznamem">
    <w:name w:val="List Paragraph"/>
    <w:basedOn w:val="Normln"/>
    <w:uiPriority w:val="34"/>
    <w:qFormat/>
    <w:rsid w:val="003B39A9"/>
    <w:pPr>
      <w:spacing w:after="200" w:line="276" w:lineRule="auto"/>
      <w:ind w:left="720"/>
      <w:contextualSpacing/>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019497">
      <w:marLeft w:val="0"/>
      <w:marRight w:val="0"/>
      <w:marTop w:val="0"/>
      <w:marBottom w:val="0"/>
      <w:divBdr>
        <w:top w:val="none" w:sz="0" w:space="0" w:color="auto"/>
        <w:left w:val="none" w:sz="0" w:space="0" w:color="auto"/>
        <w:bottom w:val="none" w:sz="0" w:space="0" w:color="auto"/>
        <w:right w:val="none" w:sz="0" w:space="0" w:color="auto"/>
      </w:divBdr>
      <w:divsChild>
        <w:div w:id="309019496">
          <w:marLeft w:val="0"/>
          <w:marRight w:val="0"/>
          <w:marTop w:val="0"/>
          <w:marBottom w:val="0"/>
          <w:divBdr>
            <w:top w:val="none" w:sz="0" w:space="0" w:color="auto"/>
            <w:left w:val="none" w:sz="0" w:space="0" w:color="auto"/>
            <w:bottom w:val="none" w:sz="0" w:space="0" w:color="auto"/>
            <w:right w:val="none" w:sz="0" w:space="0" w:color="auto"/>
          </w:divBdr>
        </w:div>
        <w:div w:id="309019499">
          <w:marLeft w:val="0"/>
          <w:marRight w:val="0"/>
          <w:marTop w:val="0"/>
          <w:marBottom w:val="0"/>
          <w:divBdr>
            <w:top w:val="none" w:sz="0" w:space="0" w:color="auto"/>
            <w:left w:val="none" w:sz="0" w:space="0" w:color="auto"/>
            <w:bottom w:val="none" w:sz="0" w:space="0" w:color="auto"/>
            <w:right w:val="none" w:sz="0" w:space="0" w:color="auto"/>
          </w:divBdr>
        </w:div>
      </w:divsChild>
    </w:div>
    <w:div w:id="309019498">
      <w:marLeft w:val="0"/>
      <w:marRight w:val="0"/>
      <w:marTop w:val="0"/>
      <w:marBottom w:val="0"/>
      <w:divBdr>
        <w:top w:val="none" w:sz="0" w:space="0" w:color="auto"/>
        <w:left w:val="none" w:sz="0" w:space="0" w:color="auto"/>
        <w:bottom w:val="none" w:sz="0" w:space="0" w:color="auto"/>
        <w:right w:val="none" w:sz="0" w:space="0" w:color="auto"/>
      </w:divBdr>
      <w:divsChild>
        <w:div w:id="309019534">
          <w:marLeft w:val="0"/>
          <w:marRight w:val="0"/>
          <w:marTop w:val="0"/>
          <w:marBottom w:val="0"/>
          <w:divBdr>
            <w:top w:val="none" w:sz="0" w:space="0" w:color="auto"/>
            <w:left w:val="none" w:sz="0" w:space="0" w:color="auto"/>
            <w:bottom w:val="none" w:sz="0" w:space="0" w:color="auto"/>
            <w:right w:val="none" w:sz="0" w:space="0" w:color="auto"/>
          </w:divBdr>
        </w:div>
        <w:div w:id="309019535">
          <w:marLeft w:val="0"/>
          <w:marRight w:val="0"/>
          <w:marTop w:val="0"/>
          <w:marBottom w:val="0"/>
          <w:divBdr>
            <w:top w:val="none" w:sz="0" w:space="0" w:color="auto"/>
            <w:left w:val="none" w:sz="0" w:space="0" w:color="auto"/>
            <w:bottom w:val="none" w:sz="0" w:space="0" w:color="auto"/>
            <w:right w:val="none" w:sz="0" w:space="0" w:color="auto"/>
          </w:divBdr>
        </w:div>
      </w:divsChild>
    </w:div>
    <w:div w:id="309019500">
      <w:marLeft w:val="0"/>
      <w:marRight w:val="0"/>
      <w:marTop w:val="0"/>
      <w:marBottom w:val="0"/>
      <w:divBdr>
        <w:top w:val="none" w:sz="0" w:space="0" w:color="auto"/>
        <w:left w:val="none" w:sz="0" w:space="0" w:color="auto"/>
        <w:bottom w:val="none" w:sz="0" w:space="0" w:color="auto"/>
        <w:right w:val="none" w:sz="0" w:space="0" w:color="auto"/>
      </w:divBdr>
      <w:divsChild>
        <w:div w:id="309019506">
          <w:marLeft w:val="0"/>
          <w:marRight w:val="0"/>
          <w:marTop w:val="0"/>
          <w:marBottom w:val="0"/>
          <w:divBdr>
            <w:top w:val="none" w:sz="0" w:space="0" w:color="auto"/>
            <w:left w:val="none" w:sz="0" w:space="0" w:color="auto"/>
            <w:bottom w:val="none" w:sz="0" w:space="0" w:color="auto"/>
            <w:right w:val="none" w:sz="0" w:space="0" w:color="auto"/>
          </w:divBdr>
          <w:divsChild>
            <w:div w:id="309019510">
              <w:marLeft w:val="0"/>
              <w:marRight w:val="0"/>
              <w:marTop w:val="0"/>
              <w:marBottom w:val="0"/>
              <w:divBdr>
                <w:top w:val="none" w:sz="0" w:space="0" w:color="auto"/>
                <w:left w:val="none" w:sz="0" w:space="0" w:color="auto"/>
                <w:bottom w:val="none" w:sz="0" w:space="0" w:color="auto"/>
                <w:right w:val="none" w:sz="0" w:space="0" w:color="auto"/>
              </w:divBdr>
            </w:div>
            <w:div w:id="309019519">
              <w:marLeft w:val="0"/>
              <w:marRight w:val="0"/>
              <w:marTop w:val="0"/>
              <w:marBottom w:val="0"/>
              <w:divBdr>
                <w:top w:val="none" w:sz="0" w:space="0" w:color="auto"/>
                <w:left w:val="none" w:sz="0" w:space="0" w:color="auto"/>
                <w:bottom w:val="none" w:sz="0" w:space="0" w:color="auto"/>
                <w:right w:val="none" w:sz="0" w:space="0" w:color="auto"/>
              </w:divBdr>
            </w:div>
            <w:div w:id="30901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1">
      <w:marLeft w:val="0"/>
      <w:marRight w:val="0"/>
      <w:marTop w:val="0"/>
      <w:marBottom w:val="0"/>
      <w:divBdr>
        <w:top w:val="none" w:sz="0" w:space="0" w:color="auto"/>
        <w:left w:val="none" w:sz="0" w:space="0" w:color="auto"/>
        <w:bottom w:val="none" w:sz="0" w:space="0" w:color="auto"/>
        <w:right w:val="none" w:sz="0" w:space="0" w:color="auto"/>
      </w:divBdr>
      <w:divsChild>
        <w:div w:id="309019517">
          <w:marLeft w:val="0"/>
          <w:marRight w:val="0"/>
          <w:marTop w:val="0"/>
          <w:marBottom w:val="0"/>
          <w:divBdr>
            <w:top w:val="none" w:sz="0" w:space="0" w:color="auto"/>
            <w:left w:val="none" w:sz="0" w:space="0" w:color="auto"/>
            <w:bottom w:val="none" w:sz="0" w:space="0" w:color="auto"/>
            <w:right w:val="none" w:sz="0" w:space="0" w:color="auto"/>
          </w:divBdr>
          <w:divsChild>
            <w:div w:id="3090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3">
      <w:marLeft w:val="0"/>
      <w:marRight w:val="0"/>
      <w:marTop w:val="0"/>
      <w:marBottom w:val="0"/>
      <w:divBdr>
        <w:top w:val="none" w:sz="0" w:space="0" w:color="auto"/>
        <w:left w:val="none" w:sz="0" w:space="0" w:color="auto"/>
        <w:bottom w:val="none" w:sz="0" w:space="0" w:color="auto"/>
        <w:right w:val="none" w:sz="0" w:space="0" w:color="auto"/>
      </w:divBdr>
      <w:divsChild>
        <w:div w:id="309019511">
          <w:marLeft w:val="0"/>
          <w:marRight w:val="0"/>
          <w:marTop w:val="0"/>
          <w:marBottom w:val="0"/>
          <w:divBdr>
            <w:top w:val="none" w:sz="0" w:space="0" w:color="auto"/>
            <w:left w:val="none" w:sz="0" w:space="0" w:color="auto"/>
            <w:bottom w:val="none" w:sz="0" w:space="0" w:color="auto"/>
            <w:right w:val="none" w:sz="0" w:space="0" w:color="auto"/>
          </w:divBdr>
          <w:divsChild>
            <w:div w:id="309019512">
              <w:marLeft w:val="0"/>
              <w:marRight w:val="0"/>
              <w:marTop w:val="0"/>
              <w:marBottom w:val="0"/>
              <w:divBdr>
                <w:top w:val="none" w:sz="0" w:space="0" w:color="auto"/>
                <w:left w:val="none" w:sz="0" w:space="0" w:color="auto"/>
                <w:bottom w:val="none" w:sz="0" w:space="0" w:color="auto"/>
                <w:right w:val="none" w:sz="0" w:space="0" w:color="auto"/>
              </w:divBdr>
            </w:div>
            <w:div w:id="309019515">
              <w:marLeft w:val="0"/>
              <w:marRight w:val="0"/>
              <w:marTop w:val="0"/>
              <w:marBottom w:val="0"/>
              <w:divBdr>
                <w:top w:val="none" w:sz="0" w:space="0" w:color="auto"/>
                <w:left w:val="none" w:sz="0" w:space="0" w:color="auto"/>
                <w:bottom w:val="none" w:sz="0" w:space="0" w:color="auto"/>
                <w:right w:val="none" w:sz="0" w:space="0" w:color="auto"/>
              </w:divBdr>
            </w:div>
            <w:div w:id="309019528">
              <w:marLeft w:val="0"/>
              <w:marRight w:val="0"/>
              <w:marTop w:val="0"/>
              <w:marBottom w:val="0"/>
              <w:divBdr>
                <w:top w:val="none" w:sz="0" w:space="0" w:color="auto"/>
                <w:left w:val="none" w:sz="0" w:space="0" w:color="auto"/>
                <w:bottom w:val="none" w:sz="0" w:space="0" w:color="auto"/>
                <w:right w:val="none" w:sz="0" w:space="0" w:color="auto"/>
              </w:divBdr>
            </w:div>
            <w:div w:id="309019530">
              <w:marLeft w:val="0"/>
              <w:marRight w:val="0"/>
              <w:marTop w:val="0"/>
              <w:marBottom w:val="0"/>
              <w:divBdr>
                <w:top w:val="none" w:sz="0" w:space="0" w:color="auto"/>
                <w:left w:val="none" w:sz="0" w:space="0" w:color="auto"/>
                <w:bottom w:val="none" w:sz="0" w:space="0" w:color="auto"/>
                <w:right w:val="none" w:sz="0" w:space="0" w:color="auto"/>
              </w:divBdr>
            </w:div>
            <w:div w:id="30901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4">
      <w:marLeft w:val="0"/>
      <w:marRight w:val="0"/>
      <w:marTop w:val="0"/>
      <w:marBottom w:val="0"/>
      <w:divBdr>
        <w:top w:val="none" w:sz="0" w:space="0" w:color="auto"/>
        <w:left w:val="none" w:sz="0" w:space="0" w:color="auto"/>
        <w:bottom w:val="none" w:sz="0" w:space="0" w:color="auto"/>
        <w:right w:val="none" w:sz="0" w:space="0" w:color="auto"/>
      </w:divBdr>
      <w:divsChild>
        <w:div w:id="309019524">
          <w:marLeft w:val="0"/>
          <w:marRight w:val="0"/>
          <w:marTop w:val="0"/>
          <w:marBottom w:val="0"/>
          <w:divBdr>
            <w:top w:val="none" w:sz="0" w:space="0" w:color="auto"/>
            <w:left w:val="none" w:sz="0" w:space="0" w:color="auto"/>
            <w:bottom w:val="none" w:sz="0" w:space="0" w:color="auto"/>
            <w:right w:val="none" w:sz="0" w:space="0" w:color="auto"/>
          </w:divBdr>
          <w:divsChild>
            <w:div w:id="309019513">
              <w:marLeft w:val="0"/>
              <w:marRight w:val="0"/>
              <w:marTop w:val="0"/>
              <w:marBottom w:val="0"/>
              <w:divBdr>
                <w:top w:val="none" w:sz="0" w:space="0" w:color="auto"/>
                <w:left w:val="none" w:sz="0" w:space="0" w:color="auto"/>
                <w:bottom w:val="none" w:sz="0" w:space="0" w:color="auto"/>
                <w:right w:val="none" w:sz="0" w:space="0" w:color="auto"/>
              </w:divBdr>
            </w:div>
            <w:div w:id="309019518">
              <w:marLeft w:val="0"/>
              <w:marRight w:val="0"/>
              <w:marTop w:val="0"/>
              <w:marBottom w:val="0"/>
              <w:divBdr>
                <w:top w:val="none" w:sz="0" w:space="0" w:color="auto"/>
                <w:left w:val="none" w:sz="0" w:space="0" w:color="auto"/>
                <w:bottom w:val="none" w:sz="0" w:space="0" w:color="auto"/>
                <w:right w:val="none" w:sz="0" w:space="0" w:color="auto"/>
              </w:divBdr>
            </w:div>
            <w:div w:id="30901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7">
      <w:marLeft w:val="0"/>
      <w:marRight w:val="0"/>
      <w:marTop w:val="0"/>
      <w:marBottom w:val="0"/>
      <w:divBdr>
        <w:top w:val="none" w:sz="0" w:space="0" w:color="auto"/>
        <w:left w:val="none" w:sz="0" w:space="0" w:color="auto"/>
        <w:bottom w:val="none" w:sz="0" w:space="0" w:color="auto"/>
        <w:right w:val="none" w:sz="0" w:space="0" w:color="auto"/>
      </w:divBdr>
      <w:divsChild>
        <w:div w:id="309019516">
          <w:marLeft w:val="0"/>
          <w:marRight w:val="0"/>
          <w:marTop w:val="0"/>
          <w:marBottom w:val="0"/>
          <w:divBdr>
            <w:top w:val="none" w:sz="0" w:space="0" w:color="auto"/>
            <w:left w:val="none" w:sz="0" w:space="0" w:color="auto"/>
            <w:bottom w:val="none" w:sz="0" w:space="0" w:color="auto"/>
            <w:right w:val="none" w:sz="0" w:space="0" w:color="auto"/>
          </w:divBdr>
          <w:divsChild>
            <w:div w:id="309019502">
              <w:marLeft w:val="0"/>
              <w:marRight w:val="0"/>
              <w:marTop w:val="0"/>
              <w:marBottom w:val="0"/>
              <w:divBdr>
                <w:top w:val="none" w:sz="0" w:space="0" w:color="auto"/>
                <w:left w:val="none" w:sz="0" w:space="0" w:color="auto"/>
                <w:bottom w:val="none" w:sz="0" w:space="0" w:color="auto"/>
                <w:right w:val="none" w:sz="0" w:space="0" w:color="auto"/>
              </w:divBdr>
            </w:div>
            <w:div w:id="309019509">
              <w:marLeft w:val="0"/>
              <w:marRight w:val="0"/>
              <w:marTop w:val="0"/>
              <w:marBottom w:val="0"/>
              <w:divBdr>
                <w:top w:val="none" w:sz="0" w:space="0" w:color="auto"/>
                <w:left w:val="none" w:sz="0" w:space="0" w:color="auto"/>
                <w:bottom w:val="none" w:sz="0" w:space="0" w:color="auto"/>
                <w:right w:val="none" w:sz="0" w:space="0" w:color="auto"/>
              </w:divBdr>
            </w:div>
            <w:div w:id="30901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22">
      <w:marLeft w:val="0"/>
      <w:marRight w:val="0"/>
      <w:marTop w:val="0"/>
      <w:marBottom w:val="0"/>
      <w:divBdr>
        <w:top w:val="none" w:sz="0" w:space="0" w:color="auto"/>
        <w:left w:val="none" w:sz="0" w:space="0" w:color="auto"/>
        <w:bottom w:val="none" w:sz="0" w:space="0" w:color="auto"/>
        <w:right w:val="none" w:sz="0" w:space="0" w:color="auto"/>
      </w:divBdr>
      <w:divsChild>
        <w:div w:id="309019520">
          <w:marLeft w:val="0"/>
          <w:marRight w:val="0"/>
          <w:marTop w:val="0"/>
          <w:marBottom w:val="0"/>
          <w:divBdr>
            <w:top w:val="none" w:sz="0" w:space="0" w:color="auto"/>
            <w:left w:val="none" w:sz="0" w:space="0" w:color="auto"/>
            <w:bottom w:val="none" w:sz="0" w:space="0" w:color="auto"/>
            <w:right w:val="none" w:sz="0" w:space="0" w:color="auto"/>
          </w:divBdr>
          <w:divsChild>
            <w:div w:id="309019505">
              <w:marLeft w:val="0"/>
              <w:marRight w:val="0"/>
              <w:marTop w:val="0"/>
              <w:marBottom w:val="0"/>
              <w:divBdr>
                <w:top w:val="none" w:sz="0" w:space="0" w:color="auto"/>
                <w:left w:val="none" w:sz="0" w:space="0" w:color="auto"/>
                <w:bottom w:val="none" w:sz="0" w:space="0" w:color="auto"/>
                <w:right w:val="none" w:sz="0" w:space="0" w:color="auto"/>
              </w:divBdr>
            </w:div>
            <w:div w:id="309019508">
              <w:marLeft w:val="0"/>
              <w:marRight w:val="0"/>
              <w:marTop w:val="0"/>
              <w:marBottom w:val="0"/>
              <w:divBdr>
                <w:top w:val="none" w:sz="0" w:space="0" w:color="auto"/>
                <w:left w:val="none" w:sz="0" w:space="0" w:color="auto"/>
                <w:bottom w:val="none" w:sz="0" w:space="0" w:color="auto"/>
                <w:right w:val="none" w:sz="0" w:space="0" w:color="auto"/>
              </w:divBdr>
            </w:div>
            <w:div w:id="309019514">
              <w:marLeft w:val="0"/>
              <w:marRight w:val="0"/>
              <w:marTop w:val="0"/>
              <w:marBottom w:val="0"/>
              <w:divBdr>
                <w:top w:val="none" w:sz="0" w:space="0" w:color="auto"/>
                <w:left w:val="none" w:sz="0" w:space="0" w:color="auto"/>
                <w:bottom w:val="none" w:sz="0" w:space="0" w:color="auto"/>
                <w:right w:val="none" w:sz="0" w:space="0" w:color="auto"/>
              </w:divBdr>
            </w:div>
            <w:div w:id="309019521">
              <w:marLeft w:val="0"/>
              <w:marRight w:val="0"/>
              <w:marTop w:val="0"/>
              <w:marBottom w:val="0"/>
              <w:divBdr>
                <w:top w:val="none" w:sz="0" w:space="0" w:color="auto"/>
                <w:left w:val="none" w:sz="0" w:space="0" w:color="auto"/>
                <w:bottom w:val="none" w:sz="0" w:space="0" w:color="auto"/>
                <w:right w:val="none" w:sz="0" w:space="0" w:color="auto"/>
              </w:divBdr>
            </w:div>
            <w:div w:id="309019523">
              <w:marLeft w:val="0"/>
              <w:marRight w:val="0"/>
              <w:marTop w:val="0"/>
              <w:marBottom w:val="0"/>
              <w:divBdr>
                <w:top w:val="none" w:sz="0" w:space="0" w:color="auto"/>
                <w:left w:val="none" w:sz="0" w:space="0" w:color="auto"/>
                <w:bottom w:val="none" w:sz="0" w:space="0" w:color="auto"/>
                <w:right w:val="none" w:sz="0" w:space="0" w:color="auto"/>
              </w:divBdr>
            </w:div>
            <w:div w:id="309019526">
              <w:marLeft w:val="0"/>
              <w:marRight w:val="0"/>
              <w:marTop w:val="0"/>
              <w:marBottom w:val="0"/>
              <w:divBdr>
                <w:top w:val="none" w:sz="0" w:space="0" w:color="auto"/>
                <w:left w:val="none" w:sz="0" w:space="0" w:color="auto"/>
                <w:bottom w:val="none" w:sz="0" w:space="0" w:color="auto"/>
                <w:right w:val="none" w:sz="0" w:space="0" w:color="auto"/>
              </w:divBdr>
            </w:div>
            <w:div w:id="30901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dia@asociaceveritelu.cz" TargetMode="External"/><Relationship Id="rId3" Type="http://schemas.openxmlformats.org/officeDocument/2006/relationships/settings" Target="settings.xml"/><Relationship Id="rId7" Type="http://schemas.openxmlformats.org/officeDocument/2006/relationships/hyperlink" Target="http://www.asociaceveritelu.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3256</Characters>
  <Application>Microsoft Office Word</Application>
  <DocSecurity>0</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Česká asociace věřitelů podporuje humanizaci exekucí</vt:lpstr>
      <vt:lpstr>Česká asociace věřitelů podporuje humanizaci exekucí</vt:lpstr>
    </vt:vector>
  </TitlesOfParts>
  <Company>GOPAS, a.s.</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Česká asociace věřitelů podporuje humanizaci exekucí</dc:title>
  <dc:creator>xxx</dc:creator>
  <cp:lastModifiedBy>Alžběta Běličová</cp:lastModifiedBy>
  <cp:revision>2</cp:revision>
  <dcterms:created xsi:type="dcterms:W3CDTF">2018-10-02T10:11:00Z</dcterms:created>
  <dcterms:modified xsi:type="dcterms:W3CDTF">2018-10-02T10:11:00Z</dcterms:modified>
</cp:coreProperties>
</file>