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A84907" w14:textId="570748F5" w:rsidR="00354C2B" w:rsidRPr="00AA5D1B" w:rsidRDefault="00CC147C" w:rsidP="0098499E">
      <w:pPr>
        <w:spacing w:after="480" w:line="280" w:lineRule="atLeast"/>
        <w:rPr>
          <w:rFonts w:cs="Arial"/>
          <w:i/>
          <w:szCs w:val="20"/>
        </w:rPr>
      </w:pPr>
      <w:r w:rsidRPr="00AA5D1B">
        <w:rPr>
          <w:rFonts w:cs="Arial"/>
          <w:i/>
          <w:szCs w:val="20"/>
        </w:rPr>
        <w:t>Tisková zpráva, 25</w:t>
      </w:r>
      <w:r w:rsidR="00354C2B" w:rsidRPr="00AA5D1B">
        <w:rPr>
          <w:rFonts w:cs="Arial"/>
          <w:i/>
          <w:szCs w:val="20"/>
        </w:rPr>
        <w:t xml:space="preserve">. </w:t>
      </w:r>
      <w:r w:rsidRPr="00AA5D1B">
        <w:rPr>
          <w:rFonts w:cs="Arial"/>
          <w:i/>
          <w:szCs w:val="20"/>
        </w:rPr>
        <w:t>května 2017</w:t>
      </w:r>
    </w:p>
    <w:p w14:paraId="578B6BE5" w14:textId="203CE34D" w:rsidR="009765DB" w:rsidRPr="009765DB" w:rsidRDefault="00526B32" w:rsidP="002E356D">
      <w:pPr>
        <w:spacing w:after="120"/>
        <w:jc w:val="both"/>
        <w:rPr>
          <w:b/>
          <w:sz w:val="34"/>
          <w:szCs w:val="34"/>
        </w:rPr>
      </w:pPr>
      <w:r w:rsidRPr="009765DB">
        <w:rPr>
          <w:b/>
          <w:sz w:val="34"/>
          <w:szCs w:val="34"/>
        </w:rPr>
        <w:t>Úprava osobních bankrotů již patrně neprojde</w:t>
      </w:r>
      <w:r w:rsidR="00344C85">
        <w:rPr>
          <w:b/>
          <w:sz w:val="34"/>
          <w:szCs w:val="34"/>
        </w:rPr>
        <w:t xml:space="preserve">. Experti se shodují, že změna vyžaduje </w:t>
      </w:r>
      <w:r w:rsidR="00CC1DCB">
        <w:rPr>
          <w:b/>
          <w:sz w:val="34"/>
          <w:szCs w:val="34"/>
        </w:rPr>
        <w:t xml:space="preserve">další </w:t>
      </w:r>
      <w:r w:rsidR="00344C85">
        <w:rPr>
          <w:b/>
          <w:sz w:val="34"/>
          <w:szCs w:val="34"/>
        </w:rPr>
        <w:t>důkladnou analýzu ekonomický</w:t>
      </w:r>
      <w:r w:rsidR="00CC1DCB">
        <w:rPr>
          <w:b/>
          <w:sz w:val="34"/>
          <w:szCs w:val="34"/>
        </w:rPr>
        <w:t>ch</w:t>
      </w:r>
      <w:r w:rsidR="00344C85">
        <w:rPr>
          <w:b/>
          <w:sz w:val="34"/>
          <w:szCs w:val="34"/>
        </w:rPr>
        <w:t xml:space="preserve"> a sociálních dopadů</w:t>
      </w:r>
    </w:p>
    <w:p w14:paraId="58988AC0" w14:textId="08C74568" w:rsidR="00611111" w:rsidRDefault="00CC147C" w:rsidP="00611111">
      <w:pPr>
        <w:jc w:val="both"/>
        <w:rPr>
          <w:b/>
        </w:rPr>
      </w:pPr>
      <w:r w:rsidRPr="0072104D">
        <w:rPr>
          <w:b/>
        </w:rPr>
        <w:t>Novela insolvenčního zákona</w:t>
      </w:r>
      <w:r w:rsidR="0072104D">
        <w:rPr>
          <w:b/>
        </w:rPr>
        <w:t>,</w:t>
      </w:r>
      <w:r w:rsidR="0072104D" w:rsidRPr="0072104D">
        <w:rPr>
          <w:b/>
        </w:rPr>
        <w:t xml:space="preserve"> </w:t>
      </w:r>
      <w:r w:rsidR="0072104D">
        <w:rPr>
          <w:b/>
        </w:rPr>
        <w:t xml:space="preserve">která upravuje podmínky osobních bankrotů s cílem umožnit oddlužení většímu okruhu předlužených osob a která se aktuálně nachází v 1. čtení poslanecké sněmovny, již pravděpodobně nebude </w:t>
      </w:r>
      <w:r w:rsidR="00344C85">
        <w:rPr>
          <w:b/>
        </w:rPr>
        <w:t xml:space="preserve">z časových důvodů </w:t>
      </w:r>
      <w:r w:rsidR="0072104D">
        <w:rPr>
          <w:b/>
        </w:rPr>
        <w:t xml:space="preserve">v tomto volebním období schválena. Informace zazněla ve čtvrtek 25. května z úst </w:t>
      </w:r>
      <w:r w:rsidR="000347D6">
        <w:rPr>
          <w:b/>
        </w:rPr>
        <w:t>poslanců</w:t>
      </w:r>
      <w:r w:rsidR="0072104D">
        <w:rPr>
          <w:b/>
        </w:rPr>
        <w:t xml:space="preserve"> na sympoziu Změny v oddlužení fyzických osob</w:t>
      </w:r>
      <w:r w:rsidR="003D7C9F">
        <w:rPr>
          <w:b/>
        </w:rPr>
        <w:t>, které</w:t>
      </w:r>
      <w:r w:rsidR="0072104D">
        <w:rPr>
          <w:b/>
        </w:rPr>
        <w:t xml:space="preserve"> uspořádala Česká asociace věřitelů v rámci Stálé konference českého práva. Přítomní odborníci se shodli, že získaný čas by měl být věnován </w:t>
      </w:r>
      <w:r w:rsidR="000347D6">
        <w:rPr>
          <w:b/>
        </w:rPr>
        <w:t xml:space="preserve">především </w:t>
      </w:r>
      <w:r w:rsidR="0072104D">
        <w:rPr>
          <w:b/>
        </w:rPr>
        <w:t xml:space="preserve">důkladné </w:t>
      </w:r>
      <w:r w:rsidR="000347D6">
        <w:rPr>
          <w:b/>
        </w:rPr>
        <w:t xml:space="preserve">analýze a diskuzi dopadů této novely, při které byly prozatím opomenuty některé zásadní sociální i ekonomické důsledky pro </w:t>
      </w:r>
      <w:r w:rsidR="00611111">
        <w:rPr>
          <w:b/>
        </w:rPr>
        <w:t>soukromý i veřejný sektor</w:t>
      </w:r>
      <w:r w:rsidR="000347D6">
        <w:rPr>
          <w:b/>
        </w:rPr>
        <w:t>.</w:t>
      </w:r>
    </w:p>
    <w:p w14:paraId="66AD0927" w14:textId="77777777" w:rsidR="00611111" w:rsidRPr="00611111" w:rsidRDefault="00611111" w:rsidP="00611111">
      <w:pPr>
        <w:jc w:val="both"/>
        <w:rPr>
          <w:b/>
        </w:rPr>
      </w:pPr>
    </w:p>
    <w:p w14:paraId="219F4EAD" w14:textId="7C61307B" w:rsidR="00F37FB2" w:rsidRDefault="00C24AA6" w:rsidP="00397D03">
      <w:pPr>
        <w:jc w:val="both"/>
      </w:pPr>
      <w:r>
        <w:t>„</w:t>
      </w:r>
      <w:r w:rsidRPr="00C24AA6">
        <w:rPr>
          <w:i/>
        </w:rPr>
        <w:t xml:space="preserve">Sympozium ukázalo, že názory odborné veřejnosti na možné pozitivní i negativní dopady projednávané novely </w:t>
      </w:r>
      <w:r w:rsidR="003D7C9F">
        <w:rPr>
          <w:i/>
        </w:rPr>
        <w:t xml:space="preserve">se do </w:t>
      </w:r>
      <w:r w:rsidR="00611111">
        <w:rPr>
          <w:i/>
        </w:rPr>
        <w:t>určité</w:t>
      </w:r>
      <w:r w:rsidR="003D7C9F">
        <w:rPr>
          <w:i/>
        </w:rPr>
        <w:t xml:space="preserve"> míry</w:t>
      </w:r>
      <w:r w:rsidRPr="00C24AA6">
        <w:rPr>
          <w:i/>
        </w:rPr>
        <w:t xml:space="preserve"> různí. Obecně však panovala shoda v tom, že přijímat </w:t>
      </w:r>
      <w:r>
        <w:rPr>
          <w:i/>
        </w:rPr>
        <w:t xml:space="preserve">v krátkém čase </w:t>
      </w:r>
      <w:r w:rsidRPr="00C24AA6">
        <w:rPr>
          <w:i/>
        </w:rPr>
        <w:t xml:space="preserve">další úpravu insolvenčního zákona bez důkladné analýzy jejích dopadů </w:t>
      </w:r>
      <w:r>
        <w:rPr>
          <w:i/>
        </w:rPr>
        <w:t>a</w:t>
      </w:r>
      <w:r w:rsidRPr="00C24AA6">
        <w:rPr>
          <w:i/>
        </w:rPr>
        <w:t xml:space="preserve"> </w:t>
      </w:r>
      <w:r w:rsidR="003D7C9F">
        <w:rPr>
          <w:i/>
        </w:rPr>
        <w:t xml:space="preserve">také </w:t>
      </w:r>
      <w:r w:rsidR="00611111">
        <w:rPr>
          <w:i/>
        </w:rPr>
        <w:t xml:space="preserve">vyhodnocení </w:t>
      </w:r>
      <w:r w:rsidRPr="00C24AA6">
        <w:rPr>
          <w:i/>
        </w:rPr>
        <w:t>výsledků nedávné novelizace</w:t>
      </w:r>
      <w:r w:rsidR="003D7C9F">
        <w:rPr>
          <w:i/>
        </w:rPr>
        <w:t xml:space="preserve"> téhož zákona</w:t>
      </w:r>
      <w:r w:rsidRPr="00C24AA6">
        <w:rPr>
          <w:i/>
        </w:rPr>
        <w:t>, není žádoucí</w:t>
      </w:r>
      <w:r>
        <w:t>,“ uvedl Pavel Staněk, prezident České asociace věřitelů.</w:t>
      </w:r>
    </w:p>
    <w:p w14:paraId="7DA40C5F" w14:textId="77777777" w:rsidR="00FE2E36" w:rsidRDefault="00FE2E36" w:rsidP="00397D03">
      <w:pPr>
        <w:jc w:val="both"/>
      </w:pPr>
    </w:p>
    <w:p w14:paraId="0615BB2F" w14:textId="37A05C1B" w:rsidR="00C4429D" w:rsidRDefault="00C24AA6" w:rsidP="00397D03">
      <w:pPr>
        <w:jc w:val="both"/>
      </w:pPr>
      <w:r>
        <w:t xml:space="preserve">Kritika navrhované úpravy </w:t>
      </w:r>
      <w:r w:rsidR="003D7C9F">
        <w:t xml:space="preserve">pravidel </w:t>
      </w:r>
      <w:r>
        <w:t xml:space="preserve">osobního bankrotu, jejímž záměrem je </w:t>
      </w:r>
      <w:r w:rsidR="003D7C9F">
        <w:t xml:space="preserve">zpřístupnit oddlužení dalším zhruba </w:t>
      </w:r>
      <w:r>
        <w:t xml:space="preserve">650 tisícům </w:t>
      </w:r>
      <w:r w:rsidR="003D7C9F">
        <w:t xml:space="preserve">předlužených </w:t>
      </w:r>
      <w:r>
        <w:t xml:space="preserve">osob, zazněla zejména </w:t>
      </w:r>
      <w:r w:rsidR="003D7C9F">
        <w:t>od</w:t>
      </w:r>
      <w:r>
        <w:t xml:space="preserve"> zástupců věřitelů.</w:t>
      </w:r>
      <w:r w:rsidR="003D7C9F">
        <w:t xml:space="preserve"> Nesouhlasí především s odstraněním </w:t>
      </w:r>
      <w:r w:rsidR="00611111">
        <w:t xml:space="preserve">podmínky </w:t>
      </w:r>
      <w:r w:rsidR="003D7C9F">
        <w:t xml:space="preserve">minimální </w:t>
      </w:r>
      <w:r w:rsidR="00611111">
        <w:t>výše</w:t>
      </w:r>
      <w:r w:rsidR="00C4429D">
        <w:t xml:space="preserve"> dluhu, kterou dlužník musí</w:t>
      </w:r>
      <w:r w:rsidR="003D7C9F">
        <w:t xml:space="preserve"> v rámci oddlužení splatit. </w:t>
      </w:r>
      <w:r w:rsidR="00C4429D">
        <w:t xml:space="preserve">Filip Hanzlík, náměstek výkonného ředitele České bankovní asociace, k tomu </w:t>
      </w:r>
      <w:r w:rsidR="00611111">
        <w:t>řek</w:t>
      </w:r>
      <w:r w:rsidR="00C4429D">
        <w:t>l, že tuto variantu oddlužení považuje za nepřijatelnou, a to zejména za situace, kdy by měla být dostupná všem osobám, jejichž dluh nepřesáhne hranici tisíci násobku životního minima, tedy asi 2 200 000 korun.</w:t>
      </w:r>
    </w:p>
    <w:p w14:paraId="341CE8DD" w14:textId="77777777" w:rsidR="00C4429D" w:rsidRDefault="00C4429D" w:rsidP="00397D03">
      <w:pPr>
        <w:jc w:val="both"/>
      </w:pPr>
    </w:p>
    <w:p w14:paraId="319FE47F" w14:textId="43AE04D5" w:rsidR="005825B3" w:rsidRDefault="00C4429D" w:rsidP="00397D03">
      <w:pPr>
        <w:jc w:val="both"/>
      </w:pPr>
      <w:r>
        <w:t xml:space="preserve">Problematická je pro věřitele </w:t>
      </w:r>
      <w:r w:rsidR="00611111">
        <w:t>také</w:t>
      </w:r>
      <w:r>
        <w:t xml:space="preserve"> varianta, kdy by dlužník mohl oddlužení úspěšně ukončit již p</w:t>
      </w:r>
      <w:r w:rsidR="00611111">
        <w:t>o 3 </w:t>
      </w:r>
      <w:r>
        <w:t xml:space="preserve">letech, pakliže se mu za tu dobu podaří věřitelům splatit alespoň 50 procent dluhu. </w:t>
      </w:r>
      <w:r w:rsidR="00F37FB2">
        <w:t>Jak poznamenal 1. místopředseda poslanecké sněmovny Radek Vondráček (ANO), dle aktuálních údajů je 16 procent oddlužení ukon</w:t>
      </w:r>
      <w:r w:rsidR="00611111">
        <w:t xml:space="preserve">čeno splacením 100 </w:t>
      </w:r>
      <w:r w:rsidR="00CC1DCB">
        <w:t>procent</w:t>
      </w:r>
      <w:r w:rsidR="00611111">
        <w:t xml:space="preserve"> dluhu. V</w:t>
      </w:r>
      <w:r w:rsidR="00F37FB2">
        <w:t xml:space="preserve">íce než </w:t>
      </w:r>
      <w:r w:rsidR="00611111">
        <w:t xml:space="preserve">50 </w:t>
      </w:r>
      <w:r w:rsidR="00CC1DCB">
        <w:t>procent</w:t>
      </w:r>
      <w:r w:rsidR="00611111">
        <w:t xml:space="preserve"> dluhu pak dlužníci splatí </w:t>
      </w:r>
      <w:r w:rsidR="00F37FB2">
        <w:t xml:space="preserve">asi </w:t>
      </w:r>
      <w:r w:rsidR="00611111">
        <w:t xml:space="preserve">v </w:t>
      </w:r>
      <w:r w:rsidR="00F37FB2">
        <w:t xml:space="preserve">42 procentech případů. </w:t>
      </w:r>
      <w:r w:rsidR="00611111">
        <w:t>P</w:t>
      </w:r>
      <w:r w:rsidR="005825B3">
        <w:t xml:space="preserve">odotkl, že při </w:t>
      </w:r>
      <w:r w:rsidR="00F37FB2">
        <w:t xml:space="preserve">zkrácení </w:t>
      </w:r>
      <w:r w:rsidR="005825B3">
        <w:t>délky oddlužení</w:t>
      </w:r>
      <w:r w:rsidR="00F37FB2">
        <w:t xml:space="preserve"> z 5 </w:t>
      </w:r>
      <w:r w:rsidR="00611111">
        <w:t xml:space="preserve">let </w:t>
      </w:r>
      <w:r w:rsidR="00F37FB2">
        <w:t xml:space="preserve">na 3 roky již </w:t>
      </w:r>
      <w:r w:rsidR="005825B3">
        <w:t xml:space="preserve">prakticky </w:t>
      </w:r>
      <w:r w:rsidR="00F37FB2">
        <w:t>nebude možné takové úrovně uspokojení věřitelů dosáhnout.</w:t>
      </w:r>
    </w:p>
    <w:p w14:paraId="0C4C4CD2" w14:textId="77777777" w:rsidR="00FE2E36" w:rsidRDefault="00FE2E36" w:rsidP="00FE2E36">
      <w:pPr>
        <w:jc w:val="both"/>
      </w:pPr>
    </w:p>
    <w:p w14:paraId="662BBDF2" w14:textId="6C5A1D35" w:rsidR="00FE2E36" w:rsidRDefault="00FE2E36" w:rsidP="00FE2E36">
      <w:pPr>
        <w:jc w:val="both"/>
      </w:pPr>
      <w:r>
        <w:t xml:space="preserve">Kateřina Horáková z </w:t>
      </w:r>
      <w:r w:rsidRPr="005825B3">
        <w:t>legislativně právní</w:t>
      </w:r>
      <w:r w:rsidR="00F952E2">
        <w:t>ho</w:t>
      </w:r>
      <w:r w:rsidRPr="005825B3">
        <w:t xml:space="preserve"> oddělení Svazu českých a moravských bytových družstev</w:t>
      </w:r>
      <w:r>
        <w:t xml:space="preserve"> zpochybnila závěr ministerstva spravedlnosti, že novela nebude mít nežádoucí sociální dopady. Z praxe potvrdila, že obyvatelé bytových domů, kteří se potýkají s pohledávkami za sousedy, jenž nehradí náklady na správu a údržbu domu či dodávky služeb, se mohou sami ocitnout v dluhové spirále, neboť musejí za neplatiče doplácet náklady dosahující i desetitisíců korun. Zároveň uvedla, že v případě dlužníků v bytových domech jde zpravidla o osoby s vícečetnými dluhy, u kterých lze zaznamenat snahy o zneužívání oddlužení a přenáší vlastních nákladů na další osoby.</w:t>
      </w:r>
    </w:p>
    <w:p w14:paraId="3722ECD1" w14:textId="77777777" w:rsidR="00FE2E36" w:rsidRDefault="00FE2E36" w:rsidP="00FE2E36">
      <w:pPr>
        <w:jc w:val="both"/>
      </w:pPr>
    </w:p>
    <w:p w14:paraId="51E3EA16" w14:textId="6AE58395" w:rsidR="00FE2E36" w:rsidRDefault="00FE2E36" w:rsidP="00FE2E36">
      <w:pPr>
        <w:jc w:val="both"/>
      </w:pPr>
      <w:r>
        <w:t xml:space="preserve">Ředitel legislativní a právní sekce Svazu měst a obcí Zdeněk Mandík </w:t>
      </w:r>
      <w:r w:rsidR="00611111">
        <w:t>řekl</w:t>
      </w:r>
      <w:r>
        <w:t xml:space="preserve">, že novela je problematická také pro obce. Předpoklad ministerstva spravedlnosti, že nebude mít žádné </w:t>
      </w:r>
      <w:r w:rsidR="00611111">
        <w:t>dopady na územní samosprávu, označil za přinejmenším nepřesný</w:t>
      </w:r>
      <w:r>
        <w:t>.</w:t>
      </w:r>
    </w:p>
    <w:p w14:paraId="2F9837DE" w14:textId="77777777" w:rsidR="00FE2E36" w:rsidRDefault="00FE2E36" w:rsidP="00FE2E36">
      <w:pPr>
        <w:jc w:val="both"/>
      </w:pPr>
    </w:p>
    <w:p w14:paraId="3AC087BD" w14:textId="44E7E353" w:rsidR="00C64519" w:rsidRDefault="00FE2E36" w:rsidP="00FE2E36">
      <w:pPr>
        <w:jc w:val="both"/>
      </w:pPr>
      <w:r>
        <w:t xml:space="preserve">Podle Radka Laštovičky, prezidenta Asociace inkasních agentur, může novela vyvolat větší zájem věřitelů o mimosoudní vymáhání pohledávek, které pro ně bude výhodnější než </w:t>
      </w:r>
      <w:r w:rsidR="00584C9D">
        <w:t xml:space="preserve">standardní </w:t>
      </w:r>
      <w:r>
        <w:t xml:space="preserve">právní cesta. </w:t>
      </w:r>
      <w:r w:rsidR="00C64519">
        <w:t>Na projednávané novele uvítal záměr o důslednější po</w:t>
      </w:r>
      <w:r w:rsidR="00F952E2">
        <w:t>stihování majetku dlužníků a je</w:t>
      </w:r>
      <w:r w:rsidR="00C64519">
        <w:t>j</w:t>
      </w:r>
      <w:r w:rsidR="00F952E2">
        <w:t>i</w:t>
      </w:r>
      <w:r w:rsidR="00C64519">
        <w:t xml:space="preserve">ch </w:t>
      </w:r>
      <w:r w:rsidR="00C64519">
        <w:lastRenderedPageBreak/>
        <w:t>intenzivnější kontrolu ze strany insolvenčních správců. Současně se ale obává snížení vymahatelnosti pohledávek</w:t>
      </w:r>
      <w:r w:rsidR="00584C9D">
        <w:t xml:space="preserve"> a p</w:t>
      </w:r>
      <w:r w:rsidR="00C64519">
        <w:t>odobně jako další odborníci poukázal na riziko morálního hazardu, kdy by novela odstraněním minimální hranice splaceného dluhu mohla dlužníkům vyslat signál, že své závazky se nemusí platit.</w:t>
      </w:r>
    </w:p>
    <w:p w14:paraId="6F3E7D8A" w14:textId="77777777" w:rsidR="00C64519" w:rsidRDefault="00C64519" w:rsidP="00FE2E36">
      <w:pPr>
        <w:jc w:val="both"/>
      </w:pPr>
    </w:p>
    <w:p w14:paraId="4659ED4E" w14:textId="0F08CAE3" w:rsidR="00FE2E36" w:rsidRDefault="00C64519" w:rsidP="00FE2E36">
      <w:pPr>
        <w:jc w:val="both"/>
      </w:pPr>
      <w:r>
        <w:t>Naopak m</w:t>
      </w:r>
      <w:r w:rsidR="00FE2E36">
        <w:t>inistr pro lidská práva, rovné příležit</w:t>
      </w:r>
      <w:r>
        <w:t>osti a legislativu Jan Chvojka konstatova</w:t>
      </w:r>
      <w:r w:rsidR="00FE2E36">
        <w:t xml:space="preserve">l, že předložená novela není automatickým odpuštěním dluhů, ale dlouhým a náročným procesem plným povinností, který má umožnit všem dlužníků, kteří mají vůli svou situaci řešit, uspořádat jejich majetkové poměry tak, aby svým věřitelům splatili své dluhy v maximální možné míře. Zároveň dodal, že vzhledem k pozdnímu termínu </w:t>
      </w:r>
      <w:r w:rsidR="00F952E2">
        <w:t xml:space="preserve">předložení </w:t>
      </w:r>
      <w:r w:rsidR="00FE2E36">
        <w:t>tohoto návrhu neočekává, že by mohl být ještě v tomto volebním období přijat.</w:t>
      </w:r>
    </w:p>
    <w:p w14:paraId="425B27FF" w14:textId="77777777" w:rsidR="00FE2E36" w:rsidRDefault="00FE2E36" w:rsidP="00397D03">
      <w:pPr>
        <w:jc w:val="both"/>
      </w:pPr>
    </w:p>
    <w:p w14:paraId="7F67AB58" w14:textId="45CF1CC6" w:rsidR="00105A64" w:rsidRDefault="00C64519" w:rsidP="00C9625C">
      <w:pPr>
        <w:jc w:val="both"/>
      </w:pPr>
      <w:r>
        <w:t xml:space="preserve">David Šmejkal </w:t>
      </w:r>
      <w:r w:rsidR="00F952E2">
        <w:t xml:space="preserve">z Poradny při finanční tísni </w:t>
      </w:r>
      <w:bookmarkStart w:id="0" w:name="_GoBack"/>
      <w:bookmarkEnd w:id="0"/>
      <w:r>
        <w:t xml:space="preserve">souhlasil s tím, že novela může zvýšením dostupnosti osobního bankrotu přispět k vyřešení problematiky dluhových pastí. </w:t>
      </w:r>
      <w:r w:rsidR="00611111">
        <w:t xml:space="preserve">Uvedl, že podle </w:t>
      </w:r>
      <w:r>
        <w:t xml:space="preserve">údajů Poradny při finanční tísni aktuální </w:t>
      </w:r>
      <w:r w:rsidR="00611111">
        <w:t>podmínku splacení</w:t>
      </w:r>
      <w:r>
        <w:t xml:space="preserve"> 30 % dluhu </w:t>
      </w:r>
      <w:r w:rsidR="00611111">
        <w:t>nedokáže splnit</w:t>
      </w:r>
      <w:r>
        <w:t xml:space="preserve"> asi 10 procent jejích klientů. Odhaduje však, že u menších lokálních poraden bude tento podíl výrazně vyšší. </w:t>
      </w:r>
      <w:r w:rsidR="00611111">
        <w:t>Částečně souhlasil také s pozitivním důsledkem novely v podobě zapojení těchto osob zpátky do legálního ekonomického života. Připustil ale, že je tu určitá malá část dlužníků, pro které nová pravidla nebudou dostatečně motivační, neboť by jim při legální pracovní činnosti zbylo po stržení srážek pouze nezabavitelné minimum.</w:t>
      </w:r>
    </w:p>
    <w:p w14:paraId="0D325D7A" w14:textId="77777777" w:rsidR="00FE2E36" w:rsidRDefault="00FE2E36" w:rsidP="00C9625C">
      <w:pPr>
        <w:jc w:val="both"/>
      </w:pPr>
    </w:p>
    <w:p w14:paraId="73B72AAE" w14:textId="176EC999" w:rsidR="00354C2B" w:rsidRPr="00AA5D1B" w:rsidRDefault="0067116C" w:rsidP="0067116C">
      <w:r>
        <w:br w:type="page"/>
      </w:r>
    </w:p>
    <w:p w14:paraId="54ED4B86" w14:textId="77777777" w:rsidR="00354C2B" w:rsidRPr="00AA5D1B" w:rsidRDefault="00354C2B" w:rsidP="00F05E27">
      <w:pPr>
        <w:spacing w:after="60"/>
        <w:rPr>
          <w:b/>
          <w:sz w:val="24"/>
          <w:shd w:val="clear" w:color="auto" w:fill="FBFBFB"/>
        </w:rPr>
      </w:pPr>
      <w:r w:rsidRPr="00AA5D1B">
        <w:rPr>
          <w:b/>
          <w:sz w:val="24"/>
          <w:shd w:val="clear" w:color="auto" w:fill="FBFBFB"/>
        </w:rPr>
        <w:lastRenderedPageBreak/>
        <w:t>O České asociaci věřitelů</w:t>
      </w:r>
    </w:p>
    <w:p w14:paraId="2E772654" w14:textId="77777777" w:rsidR="00354C2B" w:rsidRPr="00AA5D1B" w:rsidRDefault="00354C2B" w:rsidP="00F05E27">
      <w:pPr>
        <w:jc w:val="both"/>
        <w:rPr>
          <w:bCs/>
        </w:rPr>
      </w:pPr>
      <w:r w:rsidRPr="00AA5D1B">
        <w:t xml:space="preserve">Česká asociace věřitelů je sdružením fyzických a právnických osob, jehož </w:t>
      </w:r>
      <w:r w:rsidRPr="00AA5D1B">
        <w:rPr>
          <w:b/>
        </w:rPr>
        <w:t>hlavním cílem je hájit zájmy věřitelských subjektů v České republice</w:t>
      </w:r>
      <w:r w:rsidRPr="00AA5D1B">
        <w:rPr>
          <w:shd w:val="clear" w:color="auto" w:fill="FFFFFF"/>
        </w:rPr>
        <w:t xml:space="preserve">. </w:t>
      </w:r>
      <w:r w:rsidRPr="00AA5D1B">
        <w:t xml:space="preserve">Byla založena 31. prosince 2013 a její </w:t>
      </w:r>
      <w:r w:rsidRPr="00AA5D1B">
        <w:rPr>
          <w:shd w:val="clear" w:color="auto" w:fill="FFFFFF"/>
        </w:rPr>
        <w:t>vznik byl motivován především skutečností, že zde, na rozdíl od velkého množství organizací bojujících za práva spotřebitelů, dlužníků, zadlužených či předlužených osob, doposud neexistoval subjekt, který by svým zaměřením a komplexním přístupem přispíval ke zvýšení ochrany oprávněných zájmů všech věřitelů</w:t>
      </w:r>
      <w:r w:rsidRPr="00AA5D1B">
        <w:rPr>
          <w:b/>
          <w:shd w:val="clear" w:color="auto" w:fill="FFFFFF"/>
        </w:rPr>
        <w:t xml:space="preserve"> bez ohledu na jejich profesní či oborové zaměření</w:t>
      </w:r>
      <w:r w:rsidRPr="00AA5D1B">
        <w:rPr>
          <w:shd w:val="clear" w:color="auto" w:fill="FFFFFF"/>
        </w:rPr>
        <w:t xml:space="preserve">. </w:t>
      </w:r>
      <w:r w:rsidRPr="00AA5D1B">
        <w:t xml:space="preserve">Tuto úlohu dílčím způsobem plnilo několik asociací, komor či zájmových sdružení, většinou se však jednalo o aktivity značně roztříštěné. Záměrem České asociace věřitelů je chránit práva věřitelů </w:t>
      </w:r>
      <w:r w:rsidRPr="00AA5D1B">
        <w:rPr>
          <w:b/>
        </w:rPr>
        <w:t>nejen z řad velkých institucí, ale i řadových občanů</w:t>
      </w:r>
      <w:r w:rsidRPr="00AA5D1B">
        <w:t xml:space="preserve">, přispívat ke </w:t>
      </w:r>
      <w:r w:rsidRPr="00AA5D1B">
        <w:rPr>
          <w:b/>
        </w:rPr>
        <w:t>zlepšení a zefektivnění právního systému</w:t>
      </w:r>
      <w:r w:rsidRPr="00AA5D1B">
        <w:t xml:space="preserve"> i </w:t>
      </w:r>
      <w:r w:rsidRPr="00AA5D1B">
        <w:rPr>
          <w:b/>
        </w:rPr>
        <w:t>celospolečenské osvětě</w:t>
      </w:r>
      <w:r w:rsidRPr="00AA5D1B">
        <w:t>, která povede ke spravedlivému uspořádání vztahů mezi věřiteli a dlužníky.</w:t>
      </w:r>
    </w:p>
    <w:p w14:paraId="2C062568" w14:textId="77777777" w:rsidR="00354C2B" w:rsidRPr="00AA5D1B" w:rsidRDefault="00354C2B" w:rsidP="00F05E27">
      <w:pPr>
        <w:rPr>
          <w:bCs/>
        </w:rPr>
      </w:pPr>
      <w:r w:rsidRPr="00AA5D1B">
        <w:rPr>
          <w:bCs/>
        </w:rPr>
        <w:t xml:space="preserve">Více informací na </w:t>
      </w:r>
      <w:hyperlink r:id="rId7" w:history="1">
        <w:r w:rsidRPr="00AA5D1B">
          <w:rPr>
            <w:rStyle w:val="Hyperlink"/>
            <w:bCs/>
          </w:rPr>
          <w:t>www.asociaceveritelu.cz</w:t>
        </w:r>
      </w:hyperlink>
    </w:p>
    <w:p w14:paraId="02D5C5CD" w14:textId="77777777" w:rsidR="00354C2B" w:rsidRPr="00AA5D1B" w:rsidRDefault="00354C2B" w:rsidP="00F05E27">
      <w:pPr>
        <w:rPr>
          <w:bCs/>
        </w:rPr>
      </w:pPr>
    </w:p>
    <w:p w14:paraId="5E11F3BB" w14:textId="77777777" w:rsidR="00354C2B" w:rsidRPr="00AA5D1B" w:rsidRDefault="00354C2B" w:rsidP="00F05E27">
      <w:pPr>
        <w:rPr>
          <w:bCs/>
        </w:rPr>
      </w:pPr>
    </w:p>
    <w:p w14:paraId="71C037DB" w14:textId="77777777" w:rsidR="00354C2B" w:rsidRPr="00AA5D1B" w:rsidRDefault="00354C2B" w:rsidP="00F05E27">
      <w:pPr>
        <w:rPr>
          <w:bCs/>
        </w:rPr>
      </w:pPr>
    </w:p>
    <w:p w14:paraId="762BC51E" w14:textId="77777777" w:rsidR="00354C2B" w:rsidRPr="00AA5D1B" w:rsidRDefault="00354C2B" w:rsidP="00F05E27">
      <w:pPr>
        <w:pBdr>
          <w:top w:val="single" w:sz="4" w:space="1" w:color="auto"/>
        </w:pBdr>
        <w:shd w:val="clear" w:color="auto" w:fill="FFFFFF"/>
        <w:spacing w:after="60"/>
        <w:rPr>
          <w:rFonts w:cs="Arial"/>
          <w:b/>
          <w:bCs/>
          <w:sz w:val="24"/>
        </w:rPr>
      </w:pPr>
      <w:r w:rsidRPr="00AA5D1B">
        <w:rPr>
          <w:rFonts w:cs="Arial"/>
          <w:b/>
          <w:bCs/>
          <w:sz w:val="24"/>
        </w:rPr>
        <w:t>Kontakt pro média:</w:t>
      </w:r>
    </w:p>
    <w:p w14:paraId="0835F3C8" w14:textId="77777777" w:rsidR="00354C2B" w:rsidRPr="00AA5D1B" w:rsidRDefault="00354C2B" w:rsidP="00F05E27">
      <w:pPr>
        <w:pBdr>
          <w:top w:val="single" w:sz="4" w:space="1" w:color="auto"/>
        </w:pBdr>
        <w:shd w:val="clear" w:color="auto" w:fill="FFFFFF"/>
        <w:rPr>
          <w:rFonts w:cs="Arial"/>
          <w:szCs w:val="20"/>
        </w:rPr>
      </w:pPr>
      <w:r w:rsidRPr="00AA5D1B">
        <w:rPr>
          <w:rFonts w:cs="Arial"/>
          <w:bCs/>
          <w:szCs w:val="20"/>
        </w:rPr>
        <w:t xml:space="preserve">Alžběta </w:t>
      </w:r>
      <w:proofErr w:type="spellStart"/>
      <w:r w:rsidRPr="00AA5D1B">
        <w:rPr>
          <w:rFonts w:cs="Arial"/>
          <w:bCs/>
          <w:szCs w:val="20"/>
        </w:rPr>
        <w:t>Běličová</w:t>
      </w:r>
      <w:proofErr w:type="spellEnd"/>
    </w:p>
    <w:p w14:paraId="18D5F814" w14:textId="77777777" w:rsidR="00354C2B" w:rsidRPr="00AA5D1B" w:rsidRDefault="00354C2B" w:rsidP="00F05E27">
      <w:pPr>
        <w:rPr>
          <w:rFonts w:cs="Arial"/>
          <w:szCs w:val="20"/>
        </w:rPr>
      </w:pPr>
      <w:r w:rsidRPr="00AA5D1B">
        <w:rPr>
          <w:rFonts w:cs="Arial"/>
          <w:szCs w:val="20"/>
        </w:rPr>
        <w:t>mediální konzultant ČAV</w:t>
      </w:r>
    </w:p>
    <w:p w14:paraId="639AE87C" w14:textId="77777777" w:rsidR="00354C2B" w:rsidRPr="00AA5D1B" w:rsidRDefault="00354C2B" w:rsidP="00F05E27">
      <w:r w:rsidRPr="00AA5D1B">
        <w:t xml:space="preserve">E-mail: </w:t>
      </w:r>
      <w:hyperlink r:id="rId8" w:history="1">
        <w:r w:rsidRPr="00AA5D1B">
          <w:rPr>
            <w:rStyle w:val="Hyperlink"/>
          </w:rPr>
          <w:t>media@asociaceveritelu.cz</w:t>
        </w:r>
      </w:hyperlink>
    </w:p>
    <w:p w14:paraId="48D5D95A" w14:textId="77777777" w:rsidR="00354C2B" w:rsidRPr="00AA5D1B" w:rsidRDefault="00354C2B" w:rsidP="00F05E27">
      <w:pPr>
        <w:rPr>
          <w:bCs/>
        </w:rPr>
      </w:pPr>
      <w:r w:rsidRPr="00AA5D1B">
        <w:rPr>
          <w:bCs/>
        </w:rPr>
        <w:t>Telefon: +420 603 547 021</w:t>
      </w:r>
    </w:p>
    <w:p w14:paraId="4F0038A5" w14:textId="77777777" w:rsidR="00354C2B" w:rsidRPr="00AA5D1B" w:rsidRDefault="00354C2B" w:rsidP="00F05E27">
      <w:pPr>
        <w:rPr>
          <w:rFonts w:cs="Arial"/>
          <w:szCs w:val="20"/>
        </w:rPr>
      </w:pPr>
    </w:p>
    <w:p w14:paraId="568A01CF" w14:textId="77777777" w:rsidR="00354C2B" w:rsidRPr="00AA5D1B" w:rsidRDefault="00354C2B" w:rsidP="00831921">
      <w:pPr>
        <w:jc w:val="both"/>
      </w:pPr>
    </w:p>
    <w:sectPr w:rsidR="00354C2B" w:rsidRPr="00AA5D1B" w:rsidSect="0098499E">
      <w:headerReference w:type="default" r:id="rId9"/>
      <w:pgSz w:w="11906" w:h="16838" w:code="9"/>
      <w:pgMar w:top="1701" w:right="1418" w:bottom="1304" w:left="1418" w:header="454"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BF5D2" w14:textId="77777777" w:rsidR="00BA35B5" w:rsidRDefault="00BA35B5">
      <w:r>
        <w:separator/>
      </w:r>
    </w:p>
  </w:endnote>
  <w:endnote w:type="continuationSeparator" w:id="0">
    <w:p w14:paraId="13E56814" w14:textId="77777777" w:rsidR="00BA35B5" w:rsidRDefault="00BA3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DC9FF2" w14:textId="77777777" w:rsidR="00BA35B5" w:rsidRDefault="00BA35B5">
      <w:r>
        <w:separator/>
      </w:r>
    </w:p>
  </w:footnote>
  <w:footnote w:type="continuationSeparator" w:id="0">
    <w:p w14:paraId="5BA16635" w14:textId="77777777" w:rsidR="00BA35B5" w:rsidRDefault="00BA35B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85FE0" w14:textId="5A5582D4" w:rsidR="00354C2B" w:rsidRDefault="00CC147C" w:rsidP="00F05E27">
    <w:pPr>
      <w:pStyle w:val="Header"/>
      <w:jc w:val="right"/>
    </w:pPr>
    <w:r>
      <w:rPr>
        <w:noProof/>
        <w:lang w:val="en-US" w:eastAsia="en-US"/>
      </w:rPr>
      <w:drawing>
        <wp:inline distT="0" distB="0" distL="0" distR="0" wp14:anchorId="66C1B826" wp14:editId="2371A862">
          <wp:extent cx="3115310" cy="41465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5310" cy="414655"/>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00856"/>
    <w:multiLevelType w:val="hybridMultilevel"/>
    <w:tmpl w:val="F3C68E60"/>
    <w:lvl w:ilvl="0" w:tplc="A1523A98">
      <w:start w:val="1"/>
      <w:numFmt w:val="bullet"/>
      <w:lvlText w:val="×"/>
      <w:lvlJc w:val="left"/>
      <w:pPr>
        <w:tabs>
          <w:tab w:val="num" w:pos="720"/>
        </w:tabs>
        <w:ind w:left="720" w:hanging="360"/>
      </w:pPr>
      <w:rPr>
        <w:rFonts w:ascii="Calibri" w:hAnsi="Calibri" w:hint="default"/>
      </w:rPr>
    </w:lvl>
    <w:lvl w:ilvl="1" w:tplc="606EDEF0" w:tentative="1">
      <w:start w:val="1"/>
      <w:numFmt w:val="bullet"/>
      <w:lvlText w:val="×"/>
      <w:lvlJc w:val="left"/>
      <w:pPr>
        <w:tabs>
          <w:tab w:val="num" w:pos="1440"/>
        </w:tabs>
        <w:ind w:left="1440" w:hanging="360"/>
      </w:pPr>
      <w:rPr>
        <w:rFonts w:ascii="Calibri" w:hAnsi="Calibri" w:hint="default"/>
      </w:rPr>
    </w:lvl>
    <w:lvl w:ilvl="2" w:tplc="6138FDE2" w:tentative="1">
      <w:start w:val="1"/>
      <w:numFmt w:val="bullet"/>
      <w:lvlText w:val="×"/>
      <w:lvlJc w:val="left"/>
      <w:pPr>
        <w:tabs>
          <w:tab w:val="num" w:pos="2160"/>
        </w:tabs>
        <w:ind w:left="2160" w:hanging="360"/>
      </w:pPr>
      <w:rPr>
        <w:rFonts w:ascii="Calibri" w:hAnsi="Calibri" w:hint="default"/>
      </w:rPr>
    </w:lvl>
    <w:lvl w:ilvl="3" w:tplc="774CF8B6" w:tentative="1">
      <w:start w:val="1"/>
      <w:numFmt w:val="bullet"/>
      <w:lvlText w:val="×"/>
      <w:lvlJc w:val="left"/>
      <w:pPr>
        <w:tabs>
          <w:tab w:val="num" w:pos="2880"/>
        </w:tabs>
        <w:ind w:left="2880" w:hanging="360"/>
      </w:pPr>
      <w:rPr>
        <w:rFonts w:ascii="Calibri" w:hAnsi="Calibri" w:hint="default"/>
      </w:rPr>
    </w:lvl>
    <w:lvl w:ilvl="4" w:tplc="E696A7F6" w:tentative="1">
      <w:start w:val="1"/>
      <w:numFmt w:val="bullet"/>
      <w:lvlText w:val="×"/>
      <w:lvlJc w:val="left"/>
      <w:pPr>
        <w:tabs>
          <w:tab w:val="num" w:pos="3600"/>
        </w:tabs>
        <w:ind w:left="3600" w:hanging="360"/>
      </w:pPr>
      <w:rPr>
        <w:rFonts w:ascii="Calibri" w:hAnsi="Calibri" w:hint="default"/>
      </w:rPr>
    </w:lvl>
    <w:lvl w:ilvl="5" w:tplc="F42011AE" w:tentative="1">
      <w:start w:val="1"/>
      <w:numFmt w:val="bullet"/>
      <w:lvlText w:val="×"/>
      <w:lvlJc w:val="left"/>
      <w:pPr>
        <w:tabs>
          <w:tab w:val="num" w:pos="4320"/>
        </w:tabs>
        <w:ind w:left="4320" w:hanging="360"/>
      </w:pPr>
      <w:rPr>
        <w:rFonts w:ascii="Calibri" w:hAnsi="Calibri" w:hint="default"/>
      </w:rPr>
    </w:lvl>
    <w:lvl w:ilvl="6" w:tplc="C6BE19DA" w:tentative="1">
      <w:start w:val="1"/>
      <w:numFmt w:val="bullet"/>
      <w:lvlText w:val="×"/>
      <w:lvlJc w:val="left"/>
      <w:pPr>
        <w:tabs>
          <w:tab w:val="num" w:pos="5040"/>
        </w:tabs>
        <w:ind w:left="5040" w:hanging="360"/>
      </w:pPr>
      <w:rPr>
        <w:rFonts w:ascii="Calibri" w:hAnsi="Calibri" w:hint="default"/>
      </w:rPr>
    </w:lvl>
    <w:lvl w:ilvl="7" w:tplc="04826A98" w:tentative="1">
      <w:start w:val="1"/>
      <w:numFmt w:val="bullet"/>
      <w:lvlText w:val="×"/>
      <w:lvlJc w:val="left"/>
      <w:pPr>
        <w:tabs>
          <w:tab w:val="num" w:pos="5760"/>
        </w:tabs>
        <w:ind w:left="5760" w:hanging="360"/>
      </w:pPr>
      <w:rPr>
        <w:rFonts w:ascii="Calibri" w:hAnsi="Calibri" w:hint="default"/>
      </w:rPr>
    </w:lvl>
    <w:lvl w:ilvl="8" w:tplc="B67C61C6" w:tentative="1">
      <w:start w:val="1"/>
      <w:numFmt w:val="bullet"/>
      <w:lvlText w:val="×"/>
      <w:lvlJc w:val="left"/>
      <w:pPr>
        <w:tabs>
          <w:tab w:val="num" w:pos="6480"/>
        </w:tabs>
        <w:ind w:left="6480" w:hanging="360"/>
      </w:pPr>
      <w:rPr>
        <w:rFonts w:ascii="Calibri" w:hAnsi="Calibri" w:hint="default"/>
      </w:rPr>
    </w:lvl>
  </w:abstractNum>
  <w:abstractNum w:abstractNumId="1">
    <w:nsid w:val="099E1553"/>
    <w:multiLevelType w:val="hybridMultilevel"/>
    <w:tmpl w:val="8CC623EC"/>
    <w:lvl w:ilvl="0" w:tplc="9F2620AE">
      <w:start w:val="1"/>
      <w:numFmt w:val="lowerLetter"/>
      <w:lvlText w:val="%1)"/>
      <w:lvlJc w:val="left"/>
      <w:pPr>
        <w:tabs>
          <w:tab w:val="num" w:pos="720"/>
        </w:tabs>
        <w:ind w:left="720" w:hanging="360"/>
      </w:pPr>
      <w:rPr>
        <w:rFonts w:cs="Times New Roman"/>
      </w:rPr>
    </w:lvl>
    <w:lvl w:ilvl="1" w:tplc="2E20EC4E">
      <w:start w:val="146"/>
      <w:numFmt w:val="bullet"/>
      <w:lvlText w:val="–"/>
      <w:lvlJc w:val="left"/>
      <w:pPr>
        <w:tabs>
          <w:tab w:val="num" w:pos="1440"/>
        </w:tabs>
        <w:ind w:left="1440" w:hanging="360"/>
      </w:pPr>
      <w:rPr>
        <w:rFonts w:ascii="Arial" w:hAnsi="Arial" w:hint="default"/>
      </w:rPr>
    </w:lvl>
    <w:lvl w:ilvl="2" w:tplc="149C1BAC" w:tentative="1">
      <w:start w:val="1"/>
      <w:numFmt w:val="lowerLetter"/>
      <w:lvlText w:val="%3)"/>
      <w:lvlJc w:val="left"/>
      <w:pPr>
        <w:tabs>
          <w:tab w:val="num" w:pos="2160"/>
        </w:tabs>
        <w:ind w:left="2160" w:hanging="360"/>
      </w:pPr>
      <w:rPr>
        <w:rFonts w:cs="Times New Roman"/>
      </w:rPr>
    </w:lvl>
    <w:lvl w:ilvl="3" w:tplc="0B703DB8" w:tentative="1">
      <w:start w:val="1"/>
      <w:numFmt w:val="lowerLetter"/>
      <w:lvlText w:val="%4)"/>
      <w:lvlJc w:val="left"/>
      <w:pPr>
        <w:tabs>
          <w:tab w:val="num" w:pos="2880"/>
        </w:tabs>
        <w:ind w:left="2880" w:hanging="360"/>
      </w:pPr>
      <w:rPr>
        <w:rFonts w:cs="Times New Roman"/>
      </w:rPr>
    </w:lvl>
    <w:lvl w:ilvl="4" w:tplc="2AB6F8FE" w:tentative="1">
      <w:start w:val="1"/>
      <w:numFmt w:val="lowerLetter"/>
      <w:lvlText w:val="%5)"/>
      <w:lvlJc w:val="left"/>
      <w:pPr>
        <w:tabs>
          <w:tab w:val="num" w:pos="3600"/>
        </w:tabs>
        <w:ind w:left="3600" w:hanging="360"/>
      </w:pPr>
      <w:rPr>
        <w:rFonts w:cs="Times New Roman"/>
      </w:rPr>
    </w:lvl>
    <w:lvl w:ilvl="5" w:tplc="B182512C" w:tentative="1">
      <w:start w:val="1"/>
      <w:numFmt w:val="lowerLetter"/>
      <w:lvlText w:val="%6)"/>
      <w:lvlJc w:val="left"/>
      <w:pPr>
        <w:tabs>
          <w:tab w:val="num" w:pos="4320"/>
        </w:tabs>
        <w:ind w:left="4320" w:hanging="360"/>
      </w:pPr>
      <w:rPr>
        <w:rFonts w:cs="Times New Roman"/>
      </w:rPr>
    </w:lvl>
    <w:lvl w:ilvl="6" w:tplc="8C4CB580" w:tentative="1">
      <w:start w:val="1"/>
      <w:numFmt w:val="lowerLetter"/>
      <w:lvlText w:val="%7)"/>
      <w:lvlJc w:val="left"/>
      <w:pPr>
        <w:tabs>
          <w:tab w:val="num" w:pos="5040"/>
        </w:tabs>
        <w:ind w:left="5040" w:hanging="360"/>
      </w:pPr>
      <w:rPr>
        <w:rFonts w:cs="Times New Roman"/>
      </w:rPr>
    </w:lvl>
    <w:lvl w:ilvl="7" w:tplc="9EEC63D8" w:tentative="1">
      <w:start w:val="1"/>
      <w:numFmt w:val="lowerLetter"/>
      <w:lvlText w:val="%8)"/>
      <w:lvlJc w:val="left"/>
      <w:pPr>
        <w:tabs>
          <w:tab w:val="num" w:pos="5760"/>
        </w:tabs>
        <w:ind w:left="5760" w:hanging="360"/>
      </w:pPr>
      <w:rPr>
        <w:rFonts w:cs="Times New Roman"/>
      </w:rPr>
    </w:lvl>
    <w:lvl w:ilvl="8" w:tplc="E1A06B8A" w:tentative="1">
      <w:start w:val="1"/>
      <w:numFmt w:val="lowerLetter"/>
      <w:lvlText w:val="%9)"/>
      <w:lvlJc w:val="left"/>
      <w:pPr>
        <w:tabs>
          <w:tab w:val="num" w:pos="6480"/>
        </w:tabs>
        <w:ind w:left="6480" w:hanging="360"/>
      </w:pPr>
      <w:rPr>
        <w:rFonts w:cs="Times New Roman"/>
      </w:rPr>
    </w:lvl>
  </w:abstractNum>
  <w:abstractNum w:abstractNumId="2">
    <w:nsid w:val="169620C0"/>
    <w:multiLevelType w:val="hybridMultilevel"/>
    <w:tmpl w:val="4DAE63C6"/>
    <w:lvl w:ilvl="0" w:tplc="41F498A4">
      <w:start w:val="1"/>
      <w:numFmt w:val="lowerLetter"/>
      <w:lvlText w:val="%1)"/>
      <w:lvlJc w:val="left"/>
      <w:pPr>
        <w:tabs>
          <w:tab w:val="num" w:pos="720"/>
        </w:tabs>
        <w:ind w:left="720" w:hanging="360"/>
      </w:pPr>
      <w:rPr>
        <w:rFonts w:cs="Times New Roman"/>
      </w:rPr>
    </w:lvl>
    <w:lvl w:ilvl="1" w:tplc="65D8A704">
      <w:start w:val="146"/>
      <w:numFmt w:val="bullet"/>
      <w:lvlText w:val="–"/>
      <w:lvlJc w:val="left"/>
      <w:pPr>
        <w:tabs>
          <w:tab w:val="num" w:pos="1440"/>
        </w:tabs>
        <w:ind w:left="1440" w:hanging="360"/>
      </w:pPr>
      <w:rPr>
        <w:rFonts w:ascii="Arial" w:hAnsi="Arial" w:hint="default"/>
      </w:rPr>
    </w:lvl>
    <w:lvl w:ilvl="2" w:tplc="D570DAD0" w:tentative="1">
      <w:start w:val="1"/>
      <w:numFmt w:val="lowerLetter"/>
      <w:lvlText w:val="%3)"/>
      <w:lvlJc w:val="left"/>
      <w:pPr>
        <w:tabs>
          <w:tab w:val="num" w:pos="2160"/>
        </w:tabs>
        <w:ind w:left="2160" w:hanging="360"/>
      </w:pPr>
      <w:rPr>
        <w:rFonts w:cs="Times New Roman"/>
      </w:rPr>
    </w:lvl>
    <w:lvl w:ilvl="3" w:tplc="20F6CB54" w:tentative="1">
      <w:start w:val="1"/>
      <w:numFmt w:val="lowerLetter"/>
      <w:lvlText w:val="%4)"/>
      <w:lvlJc w:val="left"/>
      <w:pPr>
        <w:tabs>
          <w:tab w:val="num" w:pos="2880"/>
        </w:tabs>
        <w:ind w:left="2880" w:hanging="360"/>
      </w:pPr>
      <w:rPr>
        <w:rFonts w:cs="Times New Roman"/>
      </w:rPr>
    </w:lvl>
    <w:lvl w:ilvl="4" w:tplc="D66A48F4" w:tentative="1">
      <w:start w:val="1"/>
      <w:numFmt w:val="lowerLetter"/>
      <w:lvlText w:val="%5)"/>
      <w:lvlJc w:val="left"/>
      <w:pPr>
        <w:tabs>
          <w:tab w:val="num" w:pos="3600"/>
        </w:tabs>
        <w:ind w:left="3600" w:hanging="360"/>
      </w:pPr>
      <w:rPr>
        <w:rFonts w:cs="Times New Roman"/>
      </w:rPr>
    </w:lvl>
    <w:lvl w:ilvl="5" w:tplc="273EB906" w:tentative="1">
      <w:start w:val="1"/>
      <w:numFmt w:val="lowerLetter"/>
      <w:lvlText w:val="%6)"/>
      <w:lvlJc w:val="left"/>
      <w:pPr>
        <w:tabs>
          <w:tab w:val="num" w:pos="4320"/>
        </w:tabs>
        <w:ind w:left="4320" w:hanging="360"/>
      </w:pPr>
      <w:rPr>
        <w:rFonts w:cs="Times New Roman"/>
      </w:rPr>
    </w:lvl>
    <w:lvl w:ilvl="6" w:tplc="97566D8C" w:tentative="1">
      <w:start w:val="1"/>
      <w:numFmt w:val="lowerLetter"/>
      <w:lvlText w:val="%7)"/>
      <w:lvlJc w:val="left"/>
      <w:pPr>
        <w:tabs>
          <w:tab w:val="num" w:pos="5040"/>
        </w:tabs>
        <w:ind w:left="5040" w:hanging="360"/>
      </w:pPr>
      <w:rPr>
        <w:rFonts w:cs="Times New Roman"/>
      </w:rPr>
    </w:lvl>
    <w:lvl w:ilvl="7" w:tplc="FAC4F146" w:tentative="1">
      <w:start w:val="1"/>
      <w:numFmt w:val="lowerLetter"/>
      <w:lvlText w:val="%8)"/>
      <w:lvlJc w:val="left"/>
      <w:pPr>
        <w:tabs>
          <w:tab w:val="num" w:pos="5760"/>
        </w:tabs>
        <w:ind w:left="5760" w:hanging="360"/>
      </w:pPr>
      <w:rPr>
        <w:rFonts w:cs="Times New Roman"/>
      </w:rPr>
    </w:lvl>
    <w:lvl w:ilvl="8" w:tplc="C4326AA0" w:tentative="1">
      <w:start w:val="1"/>
      <w:numFmt w:val="lowerLetter"/>
      <w:lvlText w:val="%9)"/>
      <w:lvlJc w:val="left"/>
      <w:pPr>
        <w:tabs>
          <w:tab w:val="num" w:pos="6480"/>
        </w:tabs>
        <w:ind w:left="6480" w:hanging="360"/>
      </w:pPr>
      <w:rPr>
        <w:rFonts w:cs="Times New Roman"/>
      </w:rPr>
    </w:lvl>
  </w:abstractNum>
  <w:abstractNum w:abstractNumId="3">
    <w:nsid w:val="1A4A51B7"/>
    <w:multiLevelType w:val="hybridMultilevel"/>
    <w:tmpl w:val="B37C0906"/>
    <w:lvl w:ilvl="0" w:tplc="03367CC2">
      <w:start w:val="1"/>
      <w:numFmt w:val="lowerLetter"/>
      <w:lvlText w:val="%1)"/>
      <w:lvlJc w:val="left"/>
      <w:pPr>
        <w:tabs>
          <w:tab w:val="num" w:pos="900"/>
        </w:tabs>
        <w:ind w:left="900" w:hanging="360"/>
      </w:pPr>
      <w:rPr>
        <w:rFonts w:cs="Times New Roman" w:hint="default"/>
      </w:rPr>
    </w:lvl>
    <w:lvl w:ilvl="1" w:tplc="04050019" w:tentative="1">
      <w:start w:val="1"/>
      <w:numFmt w:val="lowerLetter"/>
      <w:lvlText w:val="%2."/>
      <w:lvlJc w:val="left"/>
      <w:pPr>
        <w:tabs>
          <w:tab w:val="num" w:pos="1620"/>
        </w:tabs>
        <w:ind w:left="1620" w:hanging="360"/>
      </w:pPr>
      <w:rPr>
        <w:rFonts w:cs="Times New Roman"/>
      </w:rPr>
    </w:lvl>
    <w:lvl w:ilvl="2" w:tplc="0405001B" w:tentative="1">
      <w:start w:val="1"/>
      <w:numFmt w:val="lowerRoman"/>
      <w:lvlText w:val="%3."/>
      <w:lvlJc w:val="right"/>
      <w:pPr>
        <w:tabs>
          <w:tab w:val="num" w:pos="2340"/>
        </w:tabs>
        <w:ind w:left="2340" w:hanging="180"/>
      </w:pPr>
      <w:rPr>
        <w:rFonts w:cs="Times New Roman"/>
      </w:rPr>
    </w:lvl>
    <w:lvl w:ilvl="3" w:tplc="0405000F" w:tentative="1">
      <w:start w:val="1"/>
      <w:numFmt w:val="decimal"/>
      <w:lvlText w:val="%4."/>
      <w:lvlJc w:val="left"/>
      <w:pPr>
        <w:tabs>
          <w:tab w:val="num" w:pos="3060"/>
        </w:tabs>
        <w:ind w:left="3060" w:hanging="360"/>
      </w:pPr>
      <w:rPr>
        <w:rFonts w:cs="Times New Roman"/>
      </w:rPr>
    </w:lvl>
    <w:lvl w:ilvl="4" w:tplc="04050019" w:tentative="1">
      <w:start w:val="1"/>
      <w:numFmt w:val="lowerLetter"/>
      <w:lvlText w:val="%5."/>
      <w:lvlJc w:val="left"/>
      <w:pPr>
        <w:tabs>
          <w:tab w:val="num" w:pos="3780"/>
        </w:tabs>
        <w:ind w:left="3780" w:hanging="360"/>
      </w:pPr>
      <w:rPr>
        <w:rFonts w:cs="Times New Roman"/>
      </w:rPr>
    </w:lvl>
    <w:lvl w:ilvl="5" w:tplc="0405001B" w:tentative="1">
      <w:start w:val="1"/>
      <w:numFmt w:val="lowerRoman"/>
      <w:lvlText w:val="%6."/>
      <w:lvlJc w:val="right"/>
      <w:pPr>
        <w:tabs>
          <w:tab w:val="num" w:pos="4500"/>
        </w:tabs>
        <w:ind w:left="4500" w:hanging="180"/>
      </w:pPr>
      <w:rPr>
        <w:rFonts w:cs="Times New Roman"/>
      </w:rPr>
    </w:lvl>
    <w:lvl w:ilvl="6" w:tplc="0405000F" w:tentative="1">
      <w:start w:val="1"/>
      <w:numFmt w:val="decimal"/>
      <w:lvlText w:val="%7."/>
      <w:lvlJc w:val="left"/>
      <w:pPr>
        <w:tabs>
          <w:tab w:val="num" w:pos="5220"/>
        </w:tabs>
        <w:ind w:left="5220" w:hanging="360"/>
      </w:pPr>
      <w:rPr>
        <w:rFonts w:cs="Times New Roman"/>
      </w:rPr>
    </w:lvl>
    <w:lvl w:ilvl="7" w:tplc="04050019" w:tentative="1">
      <w:start w:val="1"/>
      <w:numFmt w:val="lowerLetter"/>
      <w:lvlText w:val="%8."/>
      <w:lvlJc w:val="left"/>
      <w:pPr>
        <w:tabs>
          <w:tab w:val="num" w:pos="5940"/>
        </w:tabs>
        <w:ind w:left="5940" w:hanging="360"/>
      </w:pPr>
      <w:rPr>
        <w:rFonts w:cs="Times New Roman"/>
      </w:rPr>
    </w:lvl>
    <w:lvl w:ilvl="8" w:tplc="0405001B" w:tentative="1">
      <w:start w:val="1"/>
      <w:numFmt w:val="lowerRoman"/>
      <w:lvlText w:val="%9."/>
      <w:lvlJc w:val="right"/>
      <w:pPr>
        <w:tabs>
          <w:tab w:val="num" w:pos="6660"/>
        </w:tabs>
        <w:ind w:left="6660" w:hanging="180"/>
      </w:pPr>
      <w:rPr>
        <w:rFonts w:cs="Times New Roman"/>
      </w:rPr>
    </w:lvl>
  </w:abstractNum>
  <w:abstractNum w:abstractNumId="4">
    <w:nsid w:val="28E64679"/>
    <w:multiLevelType w:val="hybridMultilevel"/>
    <w:tmpl w:val="8C30B40E"/>
    <w:lvl w:ilvl="0" w:tplc="322AE2BC">
      <w:start w:val="3"/>
      <w:numFmt w:val="lowerLetter"/>
      <w:lvlText w:val="%1)"/>
      <w:lvlJc w:val="left"/>
      <w:pPr>
        <w:tabs>
          <w:tab w:val="num" w:pos="720"/>
        </w:tabs>
        <w:ind w:left="720" w:hanging="360"/>
      </w:pPr>
      <w:rPr>
        <w:rFonts w:cs="Times New Roman"/>
      </w:rPr>
    </w:lvl>
    <w:lvl w:ilvl="1" w:tplc="D3DE84BC">
      <w:start w:val="146"/>
      <w:numFmt w:val="bullet"/>
      <w:lvlText w:val="–"/>
      <w:lvlJc w:val="left"/>
      <w:pPr>
        <w:tabs>
          <w:tab w:val="num" w:pos="1440"/>
        </w:tabs>
        <w:ind w:left="1440" w:hanging="360"/>
      </w:pPr>
      <w:rPr>
        <w:rFonts w:ascii="Arial" w:hAnsi="Arial" w:hint="default"/>
      </w:rPr>
    </w:lvl>
    <w:lvl w:ilvl="2" w:tplc="B7AE15EC" w:tentative="1">
      <w:start w:val="1"/>
      <w:numFmt w:val="lowerLetter"/>
      <w:lvlText w:val="%3)"/>
      <w:lvlJc w:val="left"/>
      <w:pPr>
        <w:tabs>
          <w:tab w:val="num" w:pos="2160"/>
        </w:tabs>
        <w:ind w:left="2160" w:hanging="360"/>
      </w:pPr>
      <w:rPr>
        <w:rFonts w:cs="Times New Roman"/>
      </w:rPr>
    </w:lvl>
    <w:lvl w:ilvl="3" w:tplc="4C7CBA48" w:tentative="1">
      <w:start w:val="1"/>
      <w:numFmt w:val="lowerLetter"/>
      <w:lvlText w:val="%4)"/>
      <w:lvlJc w:val="left"/>
      <w:pPr>
        <w:tabs>
          <w:tab w:val="num" w:pos="2880"/>
        </w:tabs>
        <w:ind w:left="2880" w:hanging="360"/>
      </w:pPr>
      <w:rPr>
        <w:rFonts w:cs="Times New Roman"/>
      </w:rPr>
    </w:lvl>
    <w:lvl w:ilvl="4" w:tplc="07A0C73A" w:tentative="1">
      <w:start w:val="1"/>
      <w:numFmt w:val="lowerLetter"/>
      <w:lvlText w:val="%5)"/>
      <w:lvlJc w:val="left"/>
      <w:pPr>
        <w:tabs>
          <w:tab w:val="num" w:pos="3600"/>
        </w:tabs>
        <w:ind w:left="3600" w:hanging="360"/>
      </w:pPr>
      <w:rPr>
        <w:rFonts w:cs="Times New Roman"/>
      </w:rPr>
    </w:lvl>
    <w:lvl w:ilvl="5" w:tplc="72A0FCBA" w:tentative="1">
      <w:start w:val="1"/>
      <w:numFmt w:val="lowerLetter"/>
      <w:lvlText w:val="%6)"/>
      <w:lvlJc w:val="left"/>
      <w:pPr>
        <w:tabs>
          <w:tab w:val="num" w:pos="4320"/>
        </w:tabs>
        <w:ind w:left="4320" w:hanging="360"/>
      </w:pPr>
      <w:rPr>
        <w:rFonts w:cs="Times New Roman"/>
      </w:rPr>
    </w:lvl>
    <w:lvl w:ilvl="6" w:tplc="2C926A8A" w:tentative="1">
      <w:start w:val="1"/>
      <w:numFmt w:val="lowerLetter"/>
      <w:lvlText w:val="%7)"/>
      <w:lvlJc w:val="left"/>
      <w:pPr>
        <w:tabs>
          <w:tab w:val="num" w:pos="5040"/>
        </w:tabs>
        <w:ind w:left="5040" w:hanging="360"/>
      </w:pPr>
      <w:rPr>
        <w:rFonts w:cs="Times New Roman"/>
      </w:rPr>
    </w:lvl>
    <w:lvl w:ilvl="7" w:tplc="A3BA9AEA" w:tentative="1">
      <w:start w:val="1"/>
      <w:numFmt w:val="lowerLetter"/>
      <w:lvlText w:val="%8)"/>
      <w:lvlJc w:val="left"/>
      <w:pPr>
        <w:tabs>
          <w:tab w:val="num" w:pos="5760"/>
        </w:tabs>
        <w:ind w:left="5760" w:hanging="360"/>
      </w:pPr>
      <w:rPr>
        <w:rFonts w:cs="Times New Roman"/>
      </w:rPr>
    </w:lvl>
    <w:lvl w:ilvl="8" w:tplc="6C66FD94" w:tentative="1">
      <w:start w:val="1"/>
      <w:numFmt w:val="lowerLetter"/>
      <w:lvlText w:val="%9)"/>
      <w:lvlJc w:val="left"/>
      <w:pPr>
        <w:tabs>
          <w:tab w:val="num" w:pos="6480"/>
        </w:tabs>
        <w:ind w:left="6480" w:hanging="360"/>
      </w:pPr>
      <w:rPr>
        <w:rFonts w:cs="Times New Roman"/>
      </w:rPr>
    </w:lvl>
  </w:abstractNum>
  <w:abstractNum w:abstractNumId="5">
    <w:nsid w:val="394D72A4"/>
    <w:multiLevelType w:val="hybridMultilevel"/>
    <w:tmpl w:val="8FDEC248"/>
    <w:lvl w:ilvl="0" w:tplc="BFEEA576">
      <w:start w:val="1"/>
      <w:numFmt w:val="bullet"/>
      <w:lvlText w:val="•"/>
      <w:lvlJc w:val="left"/>
      <w:pPr>
        <w:tabs>
          <w:tab w:val="num" w:pos="720"/>
        </w:tabs>
        <w:ind w:left="720" w:hanging="360"/>
      </w:pPr>
      <w:rPr>
        <w:rFonts w:ascii="Calibri" w:hAnsi="Calibri" w:hint="default"/>
      </w:rPr>
    </w:lvl>
    <w:lvl w:ilvl="1" w:tplc="2B12AE14" w:tentative="1">
      <w:start w:val="1"/>
      <w:numFmt w:val="bullet"/>
      <w:lvlText w:val="•"/>
      <w:lvlJc w:val="left"/>
      <w:pPr>
        <w:tabs>
          <w:tab w:val="num" w:pos="1440"/>
        </w:tabs>
        <w:ind w:left="1440" w:hanging="360"/>
      </w:pPr>
      <w:rPr>
        <w:rFonts w:ascii="Calibri" w:hAnsi="Calibri" w:hint="default"/>
      </w:rPr>
    </w:lvl>
    <w:lvl w:ilvl="2" w:tplc="D3668FAE" w:tentative="1">
      <w:start w:val="1"/>
      <w:numFmt w:val="bullet"/>
      <w:lvlText w:val="•"/>
      <w:lvlJc w:val="left"/>
      <w:pPr>
        <w:tabs>
          <w:tab w:val="num" w:pos="2160"/>
        </w:tabs>
        <w:ind w:left="2160" w:hanging="360"/>
      </w:pPr>
      <w:rPr>
        <w:rFonts w:ascii="Calibri" w:hAnsi="Calibri" w:hint="default"/>
      </w:rPr>
    </w:lvl>
    <w:lvl w:ilvl="3" w:tplc="B02E4366" w:tentative="1">
      <w:start w:val="1"/>
      <w:numFmt w:val="bullet"/>
      <w:lvlText w:val="•"/>
      <w:lvlJc w:val="left"/>
      <w:pPr>
        <w:tabs>
          <w:tab w:val="num" w:pos="2880"/>
        </w:tabs>
        <w:ind w:left="2880" w:hanging="360"/>
      </w:pPr>
      <w:rPr>
        <w:rFonts w:ascii="Calibri" w:hAnsi="Calibri" w:hint="default"/>
      </w:rPr>
    </w:lvl>
    <w:lvl w:ilvl="4" w:tplc="FAD8F896" w:tentative="1">
      <w:start w:val="1"/>
      <w:numFmt w:val="bullet"/>
      <w:lvlText w:val="•"/>
      <w:lvlJc w:val="left"/>
      <w:pPr>
        <w:tabs>
          <w:tab w:val="num" w:pos="3600"/>
        </w:tabs>
        <w:ind w:left="3600" w:hanging="360"/>
      </w:pPr>
      <w:rPr>
        <w:rFonts w:ascii="Calibri" w:hAnsi="Calibri" w:hint="default"/>
      </w:rPr>
    </w:lvl>
    <w:lvl w:ilvl="5" w:tplc="230C0454" w:tentative="1">
      <w:start w:val="1"/>
      <w:numFmt w:val="bullet"/>
      <w:lvlText w:val="•"/>
      <w:lvlJc w:val="left"/>
      <w:pPr>
        <w:tabs>
          <w:tab w:val="num" w:pos="4320"/>
        </w:tabs>
        <w:ind w:left="4320" w:hanging="360"/>
      </w:pPr>
      <w:rPr>
        <w:rFonts w:ascii="Calibri" w:hAnsi="Calibri" w:hint="default"/>
      </w:rPr>
    </w:lvl>
    <w:lvl w:ilvl="6" w:tplc="48B0E1F2" w:tentative="1">
      <w:start w:val="1"/>
      <w:numFmt w:val="bullet"/>
      <w:lvlText w:val="•"/>
      <w:lvlJc w:val="left"/>
      <w:pPr>
        <w:tabs>
          <w:tab w:val="num" w:pos="5040"/>
        </w:tabs>
        <w:ind w:left="5040" w:hanging="360"/>
      </w:pPr>
      <w:rPr>
        <w:rFonts w:ascii="Calibri" w:hAnsi="Calibri" w:hint="default"/>
      </w:rPr>
    </w:lvl>
    <w:lvl w:ilvl="7" w:tplc="BB7E5748" w:tentative="1">
      <w:start w:val="1"/>
      <w:numFmt w:val="bullet"/>
      <w:lvlText w:val="•"/>
      <w:lvlJc w:val="left"/>
      <w:pPr>
        <w:tabs>
          <w:tab w:val="num" w:pos="5760"/>
        </w:tabs>
        <w:ind w:left="5760" w:hanging="360"/>
      </w:pPr>
      <w:rPr>
        <w:rFonts w:ascii="Calibri" w:hAnsi="Calibri" w:hint="default"/>
      </w:rPr>
    </w:lvl>
    <w:lvl w:ilvl="8" w:tplc="B63EDCEA" w:tentative="1">
      <w:start w:val="1"/>
      <w:numFmt w:val="bullet"/>
      <w:lvlText w:val="•"/>
      <w:lvlJc w:val="left"/>
      <w:pPr>
        <w:tabs>
          <w:tab w:val="num" w:pos="6480"/>
        </w:tabs>
        <w:ind w:left="6480" w:hanging="360"/>
      </w:pPr>
      <w:rPr>
        <w:rFonts w:ascii="Calibri" w:hAnsi="Calibri" w:hint="default"/>
      </w:rPr>
    </w:lvl>
  </w:abstractNum>
  <w:abstractNum w:abstractNumId="6">
    <w:nsid w:val="4BD43F24"/>
    <w:multiLevelType w:val="hybridMultilevel"/>
    <w:tmpl w:val="0540C868"/>
    <w:lvl w:ilvl="0" w:tplc="C79E771A">
      <w:start w:val="1"/>
      <w:numFmt w:val="bullet"/>
      <w:lvlText w:val="•"/>
      <w:lvlJc w:val="left"/>
      <w:pPr>
        <w:tabs>
          <w:tab w:val="num" w:pos="720"/>
        </w:tabs>
        <w:ind w:left="720" w:hanging="360"/>
      </w:pPr>
      <w:rPr>
        <w:rFonts w:ascii="Calibri" w:hAnsi="Calibri" w:hint="default"/>
      </w:rPr>
    </w:lvl>
    <w:lvl w:ilvl="1" w:tplc="8E4A476E" w:tentative="1">
      <w:start w:val="1"/>
      <w:numFmt w:val="bullet"/>
      <w:lvlText w:val="•"/>
      <w:lvlJc w:val="left"/>
      <w:pPr>
        <w:tabs>
          <w:tab w:val="num" w:pos="1440"/>
        </w:tabs>
        <w:ind w:left="1440" w:hanging="360"/>
      </w:pPr>
      <w:rPr>
        <w:rFonts w:ascii="Calibri" w:hAnsi="Calibri" w:hint="default"/>
      </w:rPr>
    </w:lvl>
    <w:lvl w:ilvl="2" w:tplc="D37E0596" w:tentative="1">
      <w:start w:val="1"/>
      <w:numFmt w:val="bullet"/>
      <w:lvlText w:val="•"/>
      <w:lvlJc w:val="left"/>
      <w:pPr>
        <w:tabs>
          <w:tab w:val="num" w:pos="2160"/>
        </w:tabs>
        <w:ind w:left="2160" w:hanging="360"/>
      </w:pPr>
      <w:rPr>
        <w:rFonts w:ascii="Calibri" w:hAnsi="Calibri" w:hint="default"/>
      </w:rPr>
    </w:lvl>
    <w:lvl w:ilvl="3" w:tplc="C1B84A92" w:tentative="1">
      <w:start w:val="1"/>
      <w:numFmt w:val="bullet"/>
      <w:lvlText w:val="•"/>
      <w:lvlJc w:val="left"/>
      <w:pPr>
        <w:tabs>
          <w:tab w:val="num" w:pos="2880"/>
        </w:tabs>
        <w:ind w:left="2880" w:hanging="360"/>
      </w:pPr>
      <w:rPr>
        <w:rFonts w:ascii="Calibri" w:hAnsi="Calibri" w:hint="default"/>
      </w:rPr>
    </w:lvl>
    <w:lvl w:ilvl="4" w:tplc="29726404" w:tentative="1">
      <w:start w:val="1"/>
      <w:numFmt w:val="bullet"/>
      <w:lvlText w:val="•"/>
      <w:lvlJc w:val="left"/>
      <w:pPr>
        <w:tabs>
          <w:tab w:val="num" w:pos="3600"/>
        </w:tabs>
        <w:ind w:left="3600" w:hanging="360"/>
      </w:pPr>
      <w:rPr>
        <w:rFonts w:ascii="Calibri" w:hAnsi="Calibri" w:hint="default"/>
      </w:rPr>
    </w:lvl>
    <w:lvl w:ilvl="5" w:tplc="8376EAC2" w:tentative="1">
      <w:start w:val="1"/>
      <w:numFmt w:val="bullet"/>
      <w:lvlText w:val="•"/>
      <w:lvlJc w:val="left"/>
      <w:pPr>
        <w:tabs>
          <w:tab w:val="num" w:pos="4320"/>
        </w:tabs>
        <w:ind w:left="4320" w:hanging="360"/>
      </w:pPr>
      <w:rPr>
        <w:rFonts w:ascii="Calibri" w:hAnsi="Calibri" w:hint="default"/>
      </w:rPr>
    </w:lvl>
    <w:lvl w:ilvl="6" w:tplc="A4E09464" w:tentative="1">
      <w:start w:val="1"/>
      <w:numFmt w:val="bullet"/>
      <w:lvlText w:val="•"/>
      <w:lvlJc w:val="left"/>
      <w:pPr>
        <w:tabs>
          <w:tab w:val="num" w:pos="5040"/>
        </w:tabs>
        <w:ind w:left="5040" w:hanging="360"/>
      </w:pPr>
      <w:rPr>
        <w:rFonts w:ascii="Calibri" w:hAnsi="Calibri" w:hint="default"/>
      </w:rPr>
    </w:lvl>
    <w:lvl w:ilvl="7" w:tplc="6226E6B0" w:tentative="1">
      <w:start w:val="1"/>
      <w:numFmt w:val="bullet"/>
      <w:lvlText w:val="•"/>
      <w:lvlJc w:val="left"/>
      <w:pPr>
        <w:tabs>
          <w:tab w:val="num" w:pos="5760"/>
        </w:tabs>
        <w:ind w:left="5760" w:hanging="360"/>
      </w:pPr>
      <w:rPr>
        <w:rFonts w:ascii="Calibri" w:hAnsi="Calibri" w:hint="default"/>
      </w:rPr>
    </w:lvl>
    <w:lvl w:ilvl="8" w:tplc="6CB4D604" w:tentative="1">
      <w:start w:val="1"/>
      <w:numFmt w:val="bullet"/>
      <w:lvlText w:val="•"/>
      <w:lvlJc w:val="left"/>
      <w:pPr>
        <w:tabs>
          <w:tab w:val="num" w:pos="6480"/>
        </w:tabs>
        <w:ind w:left="6480" w:hanging="360"/>
      </w:pPr>
      <w:rPr>
        <w:rFonts w:ascii="Calibri" w:hAnsi="Calibri" w:hint="default"/>
      </w:rPr>
    </w:lvl>
  </w:abstractNum>
  <w:abstractNum w:abstractNumId="7">
    <w:nsid w:val="5C690062"/>
    <w:multiLevelType w:val="hybridMultilevel"/>
    <w:tmpl w:val="DE9207DE"/>
    <w:lvl w:ilvl="0" w:tplc="130067FA">
      <w:start w:val="1"/>
      <w:numFmt w:val="bullet"/>
      <w:lvlText w:val="×"/>
      <w:lvlJc w:val="left"/>
      <w:pPr>
        <w:tabs>
          <w:tab w:val="num" w:pos="720"/>
        </w:tabs>
        <w:ind w:left="720" w:hanging="360"/>
      </w:pPr>
      <w:rPr>
        <w:rFonts w:ascii="Calibri" w:hAnsi="Calibri" w:hint="default"/>
      </w:rPr>
    </w:lvl>
    <w:lvl w:ilvl="1" w:tplc="5C3AA0D0" w:tentative="1">
      <w:start w:val="1"/>
      <w:numFmt w:val="bullet"/>
      <w:lvlText w:val="×"/>
      <w:lvlJc w:val="left"/>
      <w:pPr>
        <w:tabs>
          <w:tab w:val="num" w:pos="1440"/>
        </w:tabs>
        <w:ind w:left="1440" w:hanging="360"/>
      </w:pPr>
      <w:rPr>
        <w:rFonts w:ascii="Calibri" w:hAnsi="Calibri" w:hint="default"/>
      </w:rPr>
    </w:lvl>
    <w:lvl w:ilvl="2" w:tplc="F3E6791C" w:tentative="1">
      <w:start w:val="1"/>
      <w:numFmt w:val="bullet"/>
      <w:lvlText w:val="×"/>
      <w:lvlJc w:val="left"/>
      <w:pPr>
        <w:tabs>
          <w:tab w:val="num" w:pos="2160"/>
        </w:tabs>
        <w:ind w:left="2160" w:hanging="360"/>
      </w:pPr>
      <w:rPr>
        <w:rFonts w:ascii="Calibri" w:hAnsi="Calibri" w:hint="default"/>
      </w:rPr>
    </w:lvl>
    <w:lvl w:ilvl="3" w:tplc="A0C2B114" w:tentative="1">
      <w:start w:val="1"/>
      <w:numFmt w:val="bullet"/>
      <w:lvlText w:val="×"/>
      <w:lvlJc w:val="left"/>
      <w:pPr>
        <w:tabs>
          <w:tab w:val="num" w:pos="2880"/>
        </w:tabs>
        <w:ind w:left="2880" w:hanging="360"/>
      </w:pPr>
      <w:rPr>
        <w:rFonts w:ascii="Calibri" w:hAnsi="Calibri" w:hint="default"/>
      </w:rPr>
    </w:lvl>
    <w:lvl w:ilvl="4" w:tplc="E8BAB9A0" w:tentative="1">
      <w:start w:val="1"/>
      <w:numFmt w:val="bullet"/>
      <w:lvlText w:val="×"/>
      <w:lvlJc w:val="left"/>
      <w:pPr>
        <w:tabs>
          <w:tab w:val="num" w:pos="3600"/>
        </w:tabs>
        <w:ind w:left="3600" w:hanging="360"/>
      </w:pPr>
      <w:rPr>
        <w:rFonts w:ascii="Calibri" w:hAnsi="Calibri" w:hint="default"/>
      </w:rPr>
    </w:lvl>
    <w:lvl w:ilvl="5" w:tplc="A2E0F8A0" w:tentative="1">
      <w:start w:val="1"/>
      <w:numFmt w:val="bullet"/>
      <w:lvlText w:val="×"/>
      <w:lvlJc w:val="left"/>
      <w:pPr>
        <w:tabs>
          <w:tab w:val="num" w:pos="4320"/>
        </w:tabs>
        <w:ind w:left="4320" w:hanging="360"/>
      </w:pPr>
      <w:rPr>
        <w:rFonts w:ascii="Calibri" w:hAnsi="Calibri" w:hint="default"/>
      </w:rPr>
    </w:lvl>
    <w:lvl w:ilvl="6" w:tplc="D4184E9C" w:tentative="1">
      <w:start w:val="1"/>
      <w:numFmt w:val="bullet"/>
      <w:lvlText w:val="×"/>
      <w:lvlJc w:val="left"/>
      <w:pPr>
        <w:tabs>
          <w:tab w:val="num" w:pos="5040"/>
        </w:tabs>
        <w:ind w:left="5040" w:hanging="360"/>
      </w:pPr>
      <w:rPr>
        <w:rFonts w:ascii="Calibri" w:hAnsi="Calibri" w:hint="default"/>
      </w:rPr>
    </w:lvl>
    <w:lvl w:ilvl="7" w:tplc="3FF4D772" w:tentative="1">
      <w:start w:val="1"/>
      <w:numFmt w:val="bullet"/>
      <w:lvlText w:val="×"/>
      <w:lvlJc w:val="left"/>
      <w:pPr>
        <w:tabs>
          <w:tab w:val="num" w:pos="5760"/>
        </w:tabs>
        <w:ind w:left="5760" w:hanging="360"/>
      </w:pPr>
      <w:rPr>
        <w:rFonts w:ascii="Calibri" w:hAnsi="Calibri" w:hint="default"/>
      </w:rPr>
    </w:lvl>
    <w:lvl w:ilvl="8" w:tplc="EFA40C58" w:tentative="1">
      <w:start w:val="1"/>
      <w:numFmt w:val="bullet"/>
      <w:lvlText w:val="×"/>
      <w:lvlJc w:val="left"/>
      <w:pPr>
        <w:tabs>
          <w:tab w:val="num" w:pos="6480"/>
        </w:tabs>
        <w:ind w:left="6480" w:hanging="360"/>
      </w:pPr>
      <w:rPr>
        <w:rFonts w:ascii="Calibri" w:hAnsi="Calibri" w:hint="default"/>
      </w:rPr>
    </w:lvl>
  </w:abstractNum>
  <w:abstractNum w:abstractNumId="8">
    <w:nsid w:val="610A0B3D"/>
    <w:multiLevelType w:val="hybridMultilevel"/>
    <w:tmpl w:val="8AEE3A34"/>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abstractNum w:abstractNumId="9">
    <w:nsid w:val="6AFB70EE"/>
    <w:multiLevelType w:val="hybridMultilevel"/>
    <w:tmpl w:val="C0E6BBF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8"/>
  </w:num>
  <w:num w:numId="2">
    <w:abstractNumId w:val="3"/>
  </w:num>
  <w:num w:numId="3">
    <w:abstractNumId w:val="1"/>
  </w:num>
  <w:num w:numId="4">
    <w:abstractNumId w:val="2"/>
  </w:num>
  <w:num w:numId="5">
    <w:abstractNumId w:val="4"/>
  </w:num>
  <w:num w:numId="6">
    <w:abstractNumId w:val="6"/>
  </w:num>
  <w:num w:numId="7">
    <w:abstractNumId w:val="0"/>
  </w:num>
  <w:num w:numId="8">
    <w:abstractNumId w:val="7"/>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B78"/>
    <w:rsid w:val="00002F20"/>
    <w:rsid w:val="000044BD"/>
    <w:rsid w:val="00031493"/>
    <w:rsid w:val="000347D6"/>
    <w:rsid w:val="0004067C"/>
    <w:rsid w:val="00043F3E"/>
    <w:rsid w:val="00046C14"/>
    <w:rsid w:val="0005111C"/>
    <w:rsid w:val="00063A7E"/>
    <w:rsid w:val="00076DD9"/>
    <w:rsid w:val="000813A6"/>
    <w:rsid w:val="00086D2B"/>
    <w:rsid w:val="00092783"/>
    <w:rsid w:val="0009743F"/>
    <w:rsid w:val="000B5E1B"/>
    <w:rsid w:val="000B746C"/>
    <w:rsid w:val="000C5F2F"/>
    <w:rsid w:val="000C7ABC"/>
    <w:rsid w:val="000D4A8D"/>
    <w:rsid w:val="000D6EF4"/>
    <w:rsid w:val="000E254A"/>
    <w:rsid w:val="000E7F46"/>
    <w:rsid w:val="000F31A7"/>
    <w:rsid w:val="001007A9"/>
    <w:rsid w:val="00105A64"/>
    <w:rsid w:val="00111049"/>
    <w:rsid w:val="001205E4"/>
    <w:rsid w:val="00126034"/>
    <w:rsid w:val="00126275"/>
    <w:rsid w:val="00126650"/>
    <w:rsid w:val="00140E86"/>
    <w:rsid w:val="001436F0"/>
    <w:rsid w:val="00155C65"/>
    <w:rsid w:val="00157549"/>
    <w:rsid w:val="00157688"/>
    <w:rsid w:val="001624D8"/>
    <w:rsid w:val="00180E42"/>
    <w:rsid w:val="001819FA"/>
    <w:rsid w:val="0018378C"/>
    <w:rsid w:val="00191E5A"/>
    <w:rsid w:val="001B116C"/>
    <w:rsid w:val="001C1B55"/>
    <w:rsid w:val="001D0ED5"/>
    <w:rsid w:val="001D3601"/>
    <w:rsid w:val="001E482D"/>
    <w:rsid w:val="001F16E4"/>
    <w:rsid w:val="002029BA"/>
    <w:rsid w:val="00207EF4"/>
    <w:rsid w:val="00231D0E"/>
    <w:rsid w:val="002321E5"/>
    <w:rsid w:val="00233E0A"/>
    <w:rsid w:val="00234BE7"/>
    <w:rsid w:val="00247C45"/>
    <w:rsid w:val="00257956"/>
    <w:rsid w:val="0026435E"/>
    <w:rsid w:val="002737F3"/>
    <w:rsid w:val="00292208"/>
    <w:rsid w:val="00293E46"/>
    <w:rsid w:val="002A03E5"/>
    <w:rsid w:val="002A1EB2"/>
    <w:rsid w:val="002B3BA5"/>
    <w:rsid w:val="002B4198"/>
    <w:rsid w:val="002C5CE2"/>
    <w:rsid w:val="002C6D12"/>
    <w:rsid w:val="002D2C81"/>
    <w:rsid w:val="002E356D"/>
    <w:rsid w:val="002F307D"/>
    <w:rsid w:val="002F3FFD"/>
    <w:rsid w:val="002F61EF"/>
    <w:rsid w:val="002F66C2"/>
    <w:rsid w:val="002F75AA"/>
    <w:rsid w:val="002F7D8A"/>
    <w:rsid w:val="00302550"/>
    <w:rsid w:val="003210D4"/>
    <w:rsid w:val="00323244"/>
    <w:rsid w:val="00330EF7"/>
    <w:rsid w:val="00341A13"/>
    <w:rsid w:val="00341DBB"/>
    <w:rsid w:val="00344C85"/>
    <w:rsid w:val="003454EA"/>
    <w:rsid w:val="003456B2"/>
    <w:rsid w:val="003474D6"/>
    <w:rsid w:val="00350A3F"/>
    <w:rsid w:val="00352292"/>
    <w:rsid w:val="00354287"/>
    <w:rsid w:val="00354C2B"/>
    <w:rsid w:val="00380F09"/>
    <w:rsid w:val="00393BB3"/>
    <w:rsid w:val="00397D03"/>
    <w:rsid w:val="003A1E8B"/>
    <w:rsid w:val="003A38EC"/>
    <w:rsid w:val="003C1050"/>
    <w:rsid w:val="003D54CC"/>
    <w:rsid w:val="003D73F6"/>
    <w:rsid w:val="003D7C9F"/>
    <w:rsid w:val="003E2304"/>
    <w:rsid w:val="003F3E5B"/>
    <w:rsid w:val="003F5E1F"/>
    <w:rsid w:val="004132F2"/>
    <w:rsid w:val="00413D6E"/>
    <w:rsid w:val="00414735"/>
    <w:rsid w:val="0042340D"/>
    <w:rsid w:val="00430DF3"/>
    <w:rsid w:val="004B06BE"/>
    <w:rsid w:val="004B3EBC"/>
    <w:rsid w:val="004B656D"/>
    <w:rsid w:val="004B68A2"/>
    <w:rsid w:val="004B6AD9"/>
    <w:rsid w:val="004C5EF8"/>
    <w:rsid w:val="004D600F"/>
    <w:rsid w:val="004E07D9"/>
    <w:rsid w:val="004E3543"/>
    <w:rsid w:val="004F6A8D"/>
    <w:rsid w:val="00511A3E"/>
    <w:rsid w:val="005125C4"/>
    <w:rsid w:val="00516556"/>
    <w:rsid w:val="00517E9A"/>
    <w:rsid w:val="005202D9"/>
    <w:rsid w:val="00526B32"/>
    <w:rsid w:val="00533A1B"/>
    <w:rsid w:val="005649FC"/>
    <w:rsid w:val="005825B3"/>
    <w:rsid w:val="005830F4"/>
    <w:rsid w:val="00584C9D"/>
    <w:rsid w:val="00586487"/>
    <w:rsid w:val="00591CF4"/>
    <w:rsid w:val="005934B2"/>
    <w:rsid w:val="005A3231"/>
    <w:rsid w:val="005A5F59"/>
    <w:rsid w:val="005C0103"/>
    <w:rsid w:val="005C2D0D"/>
    <w:rsid w:val="005C5491"/>
    <w:rsid w:val="005D75F9"/>
    <w:rsid w:val="005E7A11"/>
    <w:rsid w:val="005F7BCC"/>
    <w:rsid w:val="00602830"/>
    <w:rsid w:val="00603A85"/>
    <w:rsid w:val="00611111"/>
    <w:rsid w:val="00611860"/>
    <w:rsid w:val="00611A87"/>
    <w:rsid w:val="0061791F"/>
    <w:rsid w:val="00630381"/>
    <w:rsid w:val="00640B9A"/>
    <w:rsid w:val="006535C2"/>
    <w:rsid w:val="0065400C"/>
    <w:rsid w:val="00663B84"/>
    <w:rsid w:val="006665E4"/>
    <w:rsid w:val="0067116C"/>
    <w:rsid w:val="0068662C"/>
    <w:rsid w:val="00692853"/>
    <w:rsid w:val="00694DD2"/>
    <w:rsid w:val="00695E2B"/>
    <w:rsid w:val="00697993"/>
    <w:rsid w:val="006B13C8"/>
    <w:rsid w:val="006B71CB"/>
    <w:rsid w:val="006C7949"/>
    <w:rsid w:val="006D01EF"/>
    <w:rsid w:val="006D0F2E"/>
    <w:rsid w:val="006E07A6"/>
    <w:rsid w:val="006E4359"/>
    <w:rsid w:val="006F365F"/>
    <w:rsid w:val="006F6245"/>
    <w:rsid w:val="0072104D"/>
    <w:rsid w:val="0072783C"/>
    <w:rsid w:val="0074642B"/>
    <w:rsid w:val="00764B84"/>
    <w:rsid w:val="00766555"/>
    <w:rsid w:val="00771FFB"/>
    <w:rsid w:val="007B0D5D"/>
    <w:rsid w:val="007D284E"/>
    <w:rsid w:val="007E66B3"/>
    <w:rsid w:val="007F09D1"/>
    <w:rsid w:val="00803576"/>
    <w:rsid w:val="00803E3D"/>
    <w:rsid w:val="008045BB"/>
    <w:rsid w:val="008121CF"/>
    <w:rsid w:val="00830B1A"/>
    <w:rsid w:val="00830C47"/>
    <w:rsid w:val="00831921"/>
    <w:rsid w:val="00853F14"/>
    <w:rsid w:val="00853F5B"/>
    <w:rsid w:val="00857E3D"/>
    <w:rsid w:val="008676E3"/>
    <w:rsid w:val="00871427"/>
    <w:rsid w:val="00881B90"/>
    <w:rsid w:val="00893588"/>
    <w:rsid w:val="008A0E74"/>
    <w:rsid w:val="008A7ACF"/>
    <w:rsid w:val="008B2015"/>
    <w:rsid w:val="008B5A97"/>
    <w:rsid w:val="008C6CD4"/>
    <w:rsid w:val="008D3859"/>
    <w:rsid w:val="008E5A88"/>
    <w:rsid w:val="008E6308"/>
    <w:rsid w:val="00901CFF"/>
    <w:rsid w:val="009225BA"/>
    <w:rsid w:val="00934B9F"/>
    <w:rsid w:val="0094098B"/>
    <w:rsid w:val="009450AC"/>
    <w:rsid w:val="00960F30"/>
    <w:rsid w:val="009667A1"/>
    <w:rsid w:val="00966B78"/>
    <w:rsid w:val="009765DB"/>
    <w:rsid w:val="0098499E"/>
    <w:rsid w:val="00987BBC"/>
    <w:rsid w:val="009907FD"/>
    <w:rsid w:val="00993AF2"/>
    <w:rsid w:val="009956EE"/>
    <w:rsid w:val="009A7AF6"/>
    <w:rsid w:val="009B1DB7"/>
    <w:rsid w:val="009B3F86"/>
    <w:rsid w:val="009C0413"/>
    <w:rsid w:val="009C15EA"/>
    <w:rsid w:val="009C2A8D"/>
    <w:rsid w:val="009E163F"/>
    <w:rsid w:val="009E45FF"/>
    <w:rsid w:val="009F2210"/>
    <w:rsid w:val="009F39DB"/>
    <w:rsid w:val="009F7ABC"/>
    <w:rsid w:val="00A06390"/>
    <w:rsid w:val="00A47059"/>
    <w:rsid w:val="00A47EDD"/>
    <w:rsid w:val="00A649DB"/>
    <w:rsid w:val="00A714CE"/>
    <w:rsid w:val="00A74FB8"/>
    <w:rsid w:val="00A75391"/>
    <w:rsid w:val="00A76BB3"/>
    <w:rsid w:val="00A80106"/>
    <w:rsid w:val="00A84492"/>
    <w:rsid w:val="00A872AB"/>
    <w:rsid w:val="00A87874"/>
    <w:rsid w:val="00AA5D1B"/>
    <w:rsid w:val="00AA698E"/>
    <w:rsid w:val="00AA6A01"/>
    <w:rsid w:val="00AB7049"/>
    <w:rsid w:val="00AB7CF6"/>
    <w:rsid w:val="00AB7D9A"/>
    <w:rsid w:val="00AC346A"/>
    <w:rsid w:val="00AD56E9"/>
    <w:rsid w:val="00AD7EB4"/>
    <w:rsid w:val="00AE1EC7"/>
    <w:rsid w:val="00AE4B6E"/>
    <w:rsid w:val="00AE6925"/>
    <w:rsid w:val="00B043FA"/>
    <w:rsid w:val="00B06560"/>
    <w:rsid w:val="00B26121"/>
    <w:rsid w:val="00B3498C"/>
    <w:rsid w:val="00B3503E"/>
    <w:rsid w:val="00B40089"/>
    <w:rsid w:val="00B7169B"/>
    <w:rsid w:val="00B974C8"/>
    <w:rsid w:val="00BA35B5"/>
    <w:rsid w:val="00BB2297"/>
    <w:rsid w:val="00BB2A8D"/>
    <w:rsid w:val="00BC3790"/>
    <w:rsid w:val="00BC47DD"/>
    <w:rsid w:val="00BC4D03"/>
    <w:rsid w:val="00BE0E35"/>
    <w:rsid w:val="00BF3F14"/>
    <w:rsid w:val="00BF78EC"/>
    <w:rsid w:val="00C13073"/>
    <w:rsid w:val="00C24AA6"/>
    <w:rsid w:val="00C27DE0"/>
    <w:rsid w:val="00C37368"/>
    <w:rsid w:val="00C376C1"/>
    <w:rsid w:val="00C4429D"/>
    <w:rsid w:val="00C52657"/>
    <w:rsid w:val="00C52DF1"/>
    <w:rsid w:val="00C54B20"/>
    <w:rsid w:val="00C64519"/>
    <w:rsid w:val="00C72221"/>
    <w:rsid w:val="00C754B4"/>
    <w:rsid w:val="00C76335"/>
    <w:rsid w:val="00C77EED"/>
    <w:rsid w:val="00C85AD9"/>
    <w:rsid w:val="00C91E90"/>
    <w:rsid w:val="00C9625C"/>
    <w:rsid w:val="00CB2362"/>
    <w:rsid w:val="00CB3ABB"/>
    <w:rsid w:val="00CC1214"/>
    <w:rsid w:val="00CC147C"/>
    <w:rsid w:val="00CC1DCB"/>
    <w:rsid w:val="00CC24F9"/>
    <w:rsid w:val="00CD1EF9"/>
    <w:rsid w:val="00CD4623"/>
    <w:rsid w:val="00D0322B"/>
    <w:rsid w:val="00D07B88"/>
    <w:rsid w:val="00D07F02"/>
    <w:rsid w:val="00D138FB"/>
    <w:rsid w:val="00D41F42"/>
    <w:rsid w:val="00D46AFD"/>
    <w:rsid w:val="00D46E2A"/>
    <w:rsid w:val="00D723F3"/>
    <w:rsid w:val="00D80180"/>
    <w:rsid w:val="00D84BA1"/>
    <w:rsid w:val="00D96BD9"/>
    <w:rsid w:val="00DC102B"/>
    <w:rsid w:val="00DC7F2E"/>
    <w:rsid w:val="00DD2083"/>
    <w:rsid w:val="00DD458A"/>
    <w:rsid w:val="00DE180D"/>
    <w:rsid w:val="00DE350D"/>
    <w:rsid w:val="00DF434B"/>
    <w:rsid w:val="00DF4AC3"/>
    <w:rsid w:val="00DF745E"/>
    <w:rsid w:val="00E00CAE"/>
    <w:rsid w:val="00E07E2D"/>
    <w:rsid w:val="00E24883"/>
    <w:rsid w:val="00E32865"/>
    <w:rsid w:val="00E33266"/>
    <w:rsid w:val="00E345EC"/>
    <w:rsid w:val="00E3694B"/>
    <w:rsid w:val="00E40A4A"/>
    <w:rsid w:val="00E43B56"/>
    <w:rsid w:val="00E660EA"/>
    <w:rsid w:val="00E80C2C"/>
    <w:rsid w:val="00E928F5"/>
    <w:rsid w:val="00E93DE0"/>
    <w:rsid w:val="00EA45E2"/>
    <w:rsid w:val="00EB0A48"/>
    <w:rsid w:val="00EB0DBF"/>
    <w:rsid w:val="00EB6212"/>
    <w:rsid w:val="00EB6422"/>
    <w:rsid w:val="00EB7EF1"/>
    <w:rsid w:val="00ED00DC"/>
    <w:rsid w:val="00ED147E"/>
    <w:rsid w:val="00EE2835"/>
    <w:rsid w:val="00F05E27"/>
    <w:rsid w:val="00F07093"/>
    <w:rsid w:val="00F07852"/>
    <w:rsid w:val="00F21645"/>
    <w:rsid w:val="00F248A6"/>
    <w:rsid w:val="00F31B59"/>
    <w:rsid w:val="00F34DE1"/>
    <w:rsid w:val="00F3730A"/>
    <w:rsid w:val="00F37FB2"/>
    <w:rsid w:val="00F450E3"/>
    <w:rsid w:val="00F4747A"/>
    <w:rsid w:val="00F54EBA"/>
    <w:rsid w:val="00F705A8"/>
    <w:rsid w:val="00F82AC0"/>
    <w:rsid w:val="00F855DC"/>
    <w:rsid w:val="00F952E2"/>
    <w:rsid w:val="00F97044"/>
    <w:rsid w:val="00FA2C88"/>
    <w:rsid w:val="00FC04C4"/>
    <w:rsid w:val="00FC23AE"/>
    <w:rsid w:val="00FD03B8"/>
    <w:rsid w:val="00FD0B34"/>
    <w:rsid w:val="00FE230B"/>
    <w:rsid w:val="00FE2447"/>
    <w:rsid w:val="00FE2E36"/>
    <w:rsid w:val="00FE48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D0FB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07D"/>
    <w:rPr>
      <w:rFonts w:ascii="Calibri" w:hAnsi="Calibri"/>
      <w:sz w:val="22"/>
      <w:szCs w:val="24"/>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99"/>
    <w:rsid w:val="008045BB"/>
    <w:pPr>
      <w:ind w:left="720"/>
    </w:pPr>
    <w:rPr>
      <w:szCs w:val="22"/>
      <w:lang w:eastAsia="en-US"/>
    </w:rPr>
  </w:style>
  <w:style w:type="character" w:styleId="Hyperlink">
    <w:name w:val="Hyperlink"/>
    <w:uiPriority w:val="99"/>
    <w:rsid w:val="00F05E27"/>
    <w:rPr>
      <w:rFonts w:cs="Times New Roman"/>
      <w:color w:val="0000FF"/>
      <w:u w:val="single"/>
    </w:rPr>
  </w:style>
  <w:style w:type="paragraph" w:styleId="Header">
    <w:name w:val="header"/>
    <w:basedOn w:val="Normal"/>
    <w:link w:val="HeaderChar"/>
    <w:uiPriority w:val="99"/>
    <w:rsid w:val="00F05E27"/>
    <w:pPr>
      <w:tabs>
        <w:tab w:val="center" w:pos="4536"/>
        <w:tab w:val="right" w:pos="9072"/>
      </w:tabs>
    </w:pPr>
    <w:rPr>
      <w:sz w:val="24"/>
      <w:szCs w:val="20"/>
    </w:rPr>
  </w:style>
  <w:style w:type="character" w:customStyle="1" w:styleId="HeaderChar">
    <w:name w:val="Header Char"/>
    <w:link w:val="Header"/>
    <w:uiPriority w:val="99"/>
    <w:semiHidden/>
    <w:locked/>
    <w:rsid w:val="00CB2362"/>
    <w:rPr>
      <w:rFonts w:ascii="Calibri" w:hAnsi="Calibri"/>
      <w:sz w:val="24"/>
    </w:rPr>
  </w:style>
  <w:style w:type="paragraph" w:styleId="Footer">
    <w:name w:val="footer"/>
    <w:basedOn w:val="Normal"/>
    <w:link w:val="FooterChar"/>
    <w:uiPriority w:val="99"/>
    <w:rsid w:val="00F05E27"/>
    <w:pPr>
      <w:tabs>
        <w:tab w:val="center" w:pos="4536"/>
        <w:tab w:val="right" w:pos="9072"/>
      </w:tabs>
    </w:pPr>
    <w:rPr>
      <w:sz w:val="24"/>
      <w:szCs w:val="20"/>
    </w:rPr>
  </w:style>
  <w:style w:type="character" w:customStyle="1" w:styleId="FooterChar">
    <w:name w:val="Footer Char"/>
    <w:link w:val="Footer"/>
    <w:uiPriority w:val="99"/>
    <w:semiHidden/>
    <w:locked/>
    <w:rsid w:val="00CB2362"/>
    <w:rPr>
      <w:rFonts w:ascii="Calibri" w:hAnsi="Calibri"/>
      <w:sz w:val="24"/>
    </w:rPr>
  </w:style>
  <w:style w:type="character" w:customStyle="1" w:styleId="apple-converted-space">
    <w:name w:val="apple-converted-space"/>
    <w:uiPriority w:val="99"/>
    <w:rsid w:val="00140E86"/>
  </w:style>
  <w:style w:type="paragraph" w:styleId="BalloonText">
    <w:name w:val="Balloon Text"/>
    <w:basedOn w:val="Normal"/>
    <w:link w:val="BalloonTextChar"/>
    <w:uiPriority w:val="99"/>
    <w:semiHidden/>
    <w:rsid w:val="00AD56E9"/>
    <w:rPr>
      <w:rFonts w:ascii="Times New Roman" w:hAnsi="Times New Roman"/>
      <w:sz w:val="2"/>
      <w:szCs w:val="20"/>
    </w:rPr>
  </w:style>
  <w:style w:type="character" w:customStyle="1" w:styleId="BalloonTextChar">
    <w:name w:val="Balloon Text Char"/>
    <w:link w:val="BalloonText"/>
    <w:uiPriority w:val="99"/>
    <w:semiHidden/>
    <w:locked/>
    <w:rsid w:val="00CC24F9"/>
    <w:rPr>
      <w:sz w:val="2"/>
    </w:rPr>
  </w:style>
  <w:style w:type="paragraph" w:customStyle="1" w:styleId="Default">
    <w:name w:val="Default"/>
    <w:uiPriority w:val="99"/>
    <w:rsid w:val="009F2210"/>
    <w:pPr>
      <w:autoSpaceDE w:val="0"/>
      <w:autoSpaceDN w:val="0"/>
      <w:adjustRightInd w:val="0"/>
    </w:pPr>
    <w:rPr>
      <w:rFonts w:ascii="Calibri" w:hAnsi="Calibri" w:cs="Calibri"/>
      <w:color w:val="000000"/>
      <w:sz w:val="24"/>
      <w:szCs w:val="24"/>
      <w:lang w:val="cs-CZ" w:eastAsia="cs-CZ"/>
    </w:rPr>
  </w:style>
  <w:style w:type="character" w:customStyle="1" w:styleId="EmailStyle25">
    <w:name w:val="EmailStyle25"/>
    <w:uiPriority w:val="99"/>
    <w:semiHidden/>
    <w:rsid w:val="002F66C2"/>
    <w:rPr>
      <w:rFonts w:ascii="Arial" w:hAnsi="Arial"/>
      <w:color w:val="auto"/>
      <w:sz w:val="20"/>
    </w:rPr>
  </w:style>
  <w:style w:type="paragraph" w:styleId="ListParagraph">
    <w:name w:val="List Paragraph"/>
    <w:basedOn w:val="Normal"/>
    <w:uiPriority w:val="99"/>
    <w:qFormat/>
    <w:rsid w:val="00397D03"/>
    <w:pPr>
      <w:ind w:left="720"/>
      <w:contextualSpacing/>
    </w:pPr>
    <w:rPr>
      <w:sz w:val="24"/>
      <w:lang w:val="en-US" w:eastAsia="en-US"/>
    </w:rPr>
  </w:style>
  <w:style w:type="character" w:styleId="Strong">
    <w:name w:val="Strong"/>
    <w:qFormat/>
    <w:locked/>
    <w:rsid w:val="00397D03"/>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405564">
      <w:bodyDiv w:val="1"/>
      <w:marLeft w:val="0"/>
      <w:marRight w:val="0"/>
      <w:marTop w:val="0"/>
      <w:marBottom w:val="0"/>
      <w:divBdr>
        <w:top w:val="none" w:sz="0" w:space="0" w:color="auto"/>
        <w:left w:val="none" w:sz="0" w:space="0" w:color="auto"/>
        <w:bottom w:val="none" w:sz="0" w:space="0" w:color="auto"/>
        <w:right w:val="none" w:sz="0" w:space="0" w:color="auto"/>
      </w:divBdr>
    </w:div>
    <w:div w:id="619649217">
      <w:marLeft w:val="0"/>
      <w:marRight w:val="0"/>
      <w:marTop w:val="0"/>
      <w:marBottom w:val="0"/>
      <w:divBdr>
        <w:top w:val="none" w:sz="0" w:space="0" w:color="auto"/>
        <w:left w:val="none" w:sz="0" w:space="0" w:color="auto"/>
        <w:bottom w:val="none" w:sz="0" w:space="0" w:color="auto"/>
        <w:right w:val="none" w:sz="0" w:space="0" w:color="auto"/>
      </w:divBdr>
      <w:divsChild>
        <w:div w:id="619649216">
          <w:marLeft w:val="0"/>
          <w:marRight w:val="0"/>
          <w:marTop w:val="0"/>
          <w:marBottom w:val="0"/>
          <w:divBdr>
            <w:top w:val="none" w:sz="0" w:space="0" w:color="auto"/>
            <w:left w:val="none" w:sz="0" w:space="0" w:color="auto"/>
            <w:bottom w:val="none" w:sz="0" w:space="0" w:color="auto"/>
            <w:right w:val="none" w:sz="0" w:space="0" w:color="auto"/>
          </w:divBdr>
        </w:div>
        <w:div w:id="619649219">
          <w:marLeft w:val="0"/>
          <w:marRight w:val="0"/>
          <w:marTop w:val="0"/>
          <w:marBottom w:val="0"/>
          <w:divBdr>
            <w:top w:val="none" w:sz="0" w:space="0" w:color="auto"/>
            <w:left w:val="none" w:sz="0" w:space="0" w:color="auto"/>
            <w:bottom w:val="none" w:sz="0" w:space="0" w:color="auto"/>
            <w:right w:val="none" w:sz="0" w:space="0" w:color="auto"/>
          </w:divBdr>
        </w:div>
      </w:divsChild>
    </w:div>
    <w:div w:id="619649218">
      <w:marLeft w:val="0"/>
      <w:marRight w:val="0"/>
      <w:marTop w:val="0"/>
      <w:marBottom w:val="0"/>
      <w:divBdr>
        <w:top w:val="none" w:sz="0" w:space="0" w:color="auto"/>
        <w:left w:val="none" w:sz="0" w:space="0" w:color="auto"/>
        <w:bottom w:val="none" w:sz="0" w:space="0" w:color="auto"/>
        <w:right w:val="none" w:sz="0" w:space="0" w:color="auto"/>
      </w:divBdr>
      <w:divsChild>
        <w:div w:id="619649254">
          <w:marLeft w:val="0"/>
          <w:marRight w:val="0"/>
          <w:marTop w:val="0"/>
          <w:marBottom w:val="0"/>
          <w:divBdr>
            <w:top w:val="none" w:sz="0" w:space="0" w:color="auto"/>
            <w:left w:val="none" w:sz="0" w:space="0" w:color="auto"/>
            <w:bottom w:val="none" w:sz="0" w:space="0" w:color="auto"/>
            <w:right w:val="none" w:sz="0" w:space="0" w:color="auto"/>
          </w:divBdr>
        </w:div>
        <w:div w:id="619649255">
          <w:marLeft w:val="0"/>
          <w:marRight w:val="0"/>
          <w:marTop w:val="0"/>
          <w:marBottom w:val="0"/>
          <w:divBdr>
            <w:top w:val="none" w:sz="0" w:space="0" w:color="auto"/>
            <w:left w:val="none" w:sz="0" w:space="0" w:color="auto"/>
            <w:bottom w:val="none" w:sz="0" w:space="0" w:color="auto"/>
            <w:right w:val="none" w:sz="0" w:space="0" w:color="auto"/>
          </w:divBdr>
        </w:div>
      </w:divsChild>
    </w:div>
    <w:div w:id="619649220">
      <w:marLeft w:val="0"/>
      <w:marRight w:val="0"/>
      <w:marTop w:val="0"/>
      <w:marBottom w:val="0"/>
      <w:divBdr>
        <w:top w:val="none" w:sz="0" w:space="0" w:color="auto"/>
        <w:left w:val="none" w:sz="0" w:space="0" w:color="auto"/>
        <w:bottom w:val="none" w:sz="0" w:space="0" w:color="auto"/>
        <w:right w:val="none" w:sz="0" w:space="0" w:color="auto"/>
      </w:divBdr>
      <w:divsChild>
        <w:div w:id="619649226">
          <w:marLeft w:val="0"/>
          <w:marRight w:val="0"/>
          <w:marTop w:val="0"/>
          <w:marBottom w:val="0"/>
          <w:divBdr>
            <w:top w:val="none" w:sz="0" w:space="0" w:color="auto"/>
            <w:left w:val="none" w:sz="0" w:space="0" w:color="auto"/>
            <w:bottom w:val="none" w:sz="0" w:space="0" w:color="auto"/>
            <w:right w:val="none" w:sz="0" w:space="0" w:color="auto"/>
          </w:divBdr>
          <w:divsChild>
            <w:div w:id="619649230">
              <w:marLeft w:val="0"/>
              <w:marRight w:val="0"/>
              <w:marTop w:val="0"/>
              <w:marBottom w:val="0"/>
              <w:divBdr>
                <w:top w:val="none" w:sz="0" w:space="0" w:color="auto"/>
                <w:left w:val="none" w:sz="0" w:space="0" w:color="auto"/>
                <w:bottom w:val="none" w:sz="0" w:space="0" w:color="auto"/>
                <w:right w:val="none" w:sz="0" w:space="0" w:color="auto"/>
              </w:divBdr>
            </w:div>
            <w:div w:id="619649239">
              <w:marLeft w:val="0"/>
              <w:marRight w:val="0"/>
              <w:marTop w:val="0"/>
              <w:marBottom w:val="0"/>
              <w:divBdr>
                <w:top w:val="none" w:sz="0" w:space="0" w:color="auto"/>
                <w:left w:val="none" w:sz="0" w:space="0" w:color="auto"/>
                <w:bottom w:val="none" w:sz="0" w:space="0" w:color="auto"/>
                <w:right w:val="none" w:sz="0" w:space="0" w:color="auto"/>
              </w:divBdr>
            </w:div>
            <w:div w:id="61964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49221">
      <w:marLeft w:val="0"/>
      <w:marRight w:val="0"/>
      <w:marTop w:val="0"/>
      <w:marBottom w:val="0"/>
      <w:divBdr>
        <w:top w:val="none" w:sz="0" w:space="0" w:color="auto"/>
        <w:left w:val="none" w:sz="0" w:space="0" w:color="auto"/>
        <w:bottom w:val="none" w:sz="0" w:space="0" w:color="auto"/>
        <w:right w:val="none" w:sz="0" w:space="0" w:color="auto"/>
      </w:divBdr>
      <w:divsChild>
        <w:div w:id="619649237">
          <w:marLeft w:val="0"/>
          <w:marRight w:val="0"/>
          <w:marTop w:val="0"/>
          <w:marBottom w:val="0"/>
          <w:divBdr>
            <w:top w:val="none" w:sz="0" w:space="0" w:color="auto"/>
            <w:left w:val="none" w:sz="0" w:space="0" w:color="auto"/>
            <w:bottom w:val="none" w:sz="0" w:space="0" w:color="auto"/>
            <w:right w:val="none" w:sz="0" w:space="0" w:color="auto"/>
          </w:divBdr>
          <w:divsChild>
            <w:div w:id="61964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49223">
      <w:marLeft w:val="0"/>
      <w:marRight w:val="0"/>
      <w:marTop w:val="0"/>
      <w:marBottom w:val="0"/>
      <w:divBdr>
        <w:top w:val="none" w:sz="0" w:space="0" w:color="auto"/>
        <w:left w:val="none" w:sz="0" w:space="0" w:color="auto"/>
        <w:bottom w:val="none" w:sz="0" w:space="0" w:color="auto"/>
        <w:right w:val="none" w:sz="0" w:space="0" w:color="auto"/>
      </w:divBdr>
      <w:divsChild>
        <w:div w:id="619649231">
          <w:marLeft w:val="0"/>
          <w:marRight w:val="0"/>
          <w:marTop w:val="0"/>
          <w:marBottom w:val="0"/>
          <w:divBdr>
            <w:top w:val="none" w:sz="0" w:space="0" w:color="auto"/>
            <w:left w:val="none" w:sz="0" w:space="0" w:color="auto"/>
            <w:bottom w:val="none" w:sz="0" w:space="0" w:color="auto"/>
            <w:right w:val="none" w:sz="0" w:space="0" w:color="auto"/>
          </w:divBdr>
          <w:divsChild>
            <w:div w:id="619649232">
              <w:marLeft w:val="0"/>
              <w:marRight w:val="0"/>
              <w:marTop w:val="0"/>
              <w:marBottom w:val="0"/>
              <w:divBdr>
                <w:top w:val="none" w:sz="0" w:space="0" w:color="auto"/>
                <w:left w:val="none" w:sz="0" w:space="0" w:color="auto"/>
                <w:bottom w:val="none" w:sz="0" w:space="0" w:color="auto"/>
                <w:right w:val="none" w:sz="0" w:space="0" w:color="auto"/>
              </w:divBdr>
            </w:div>
            <w:div w:id="619649235">
              <w:marLeft w:val="0"/>
              <w:marRight w:val="0"/>
              <w:marTop w:val="0"/>
              <w:marBottom w:val="0"/>
              <w:divBdr>
                <w:top w:val="none" w:sz="0" w:space="0" w:color="auto"/>
                <w:left w:val="none" w:sz="0" w:space="0" w:color="auto"/>
                <w:bottom w:val="none" w:sz="0" w:space="0" w:color="auto"/>
                <w:right w:val="none" w:sz="0" w:space="0" w:color="auto"/>
              </w:divBdr>
            </w:div>
            <w:div w:id="619649248">
              <w:marLeft w:val="0"/>
              <w:marRight w:val="0"/>
              <w:marTop w:val="0"/>
              <w:marBottom w:val="0"/>
              <w:divBdr>
                <w:top w:val="none" w:sz="0" w:space="0" w:color="auto"/>
                <w:left w:val="none" w:sz="0" w:space="0" w:color="auto"/>
                <w:bottom w:val="none" w:sz="0" w:space="0" w:color="auto"/>
                <w:right w:val="none" w:sz="0" w:space="0" w:color="auto"/>
              </w:divBdr>
            </w:div>
            <w:div w:id="619649250">
              <w:marLeft w:val="0"/>
              <w:marRight w:val="0"/>
              <w:marTop w:val="0"/>
              <w:marBottom w:val="0"/>
              <w:divBdr>
                <w:top w:val="none" w:sz="0" w:space="0" w:color="auto"/>
                <w:left w:val="none" w:sz="0" w:space="0" w:color="auto"/>
                <w:bottom w:val="none" w:sz="0" w:space="0" w:color="auto"/>
                <w:right w:val="none" w:sz="0" w:space="0" w:color="auto"/>
              </w:divBdr>
            </w:div>
            <w:div w:id="61964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49224">
      <w:marLeft w:val="0"/>
      <w:marRight w:val="0"/>
      <w:marTop w:val="0"/>
      <w:marBottom w:val="0"/>
      <w:divBdr>
        <w:top w:val="none" w:sz="0" w:space="0" w:color="auto"/>
        <w:left w:val="none" w:sz="0" w:space="0" w:color="auto"/>
        <w:bottom w:val="none" w:sz="0" w:space="0" w:color="auto"/>
        <w:right w:val="none" w:sz="0" w:space="0" w:color="auto"/>
      </w:divBdr>
      <w:divsChild>
        <w:div w:id="619649244">
          <w:marLeft w:val="0"/>
          <w:marRight w:val="0"/>
          <w:marTop w:val="0"/>
          <w:marBottom w:val="0"/>
          <w:divBdr>
            <w:top w:val="none" w:sz="0" w:space="0" w:color="auto"/>
            <w:left w:val="none" w:sz="0" w:space="0" w:color="auto"/>
            <w:bottom w:val="none" w:sz="0" w:space="0" w:color="auto"/>
            <w:right w:val="none" w:sz="0" w:space="0" w:color="auto"/>
          </w:divBdr>
          <w:divsChild>
            <w:div w:id="619649233">
              <w:marLeft w:val="0"/>
              <w:marRight w:val="0"/>
              <w:marTop w:val="0"/>
              <w:marBottom w:val="0"/>
              <w:divBdr>
                <w:top w:val="none" w:sz="0" w:space="0" w:color="auto"/>
                <w:left w:val="none" w:sz="0" w:space="0" w:color="auto"/>
                <w:bottom w:val="none" w:sz="0" w:space="0" w:color="auto"/>
                <w:right w:val="none" w:sz="0" w:space="0" w:color="auto"/>
              </w:divBdr>
            </w:div>
            <w:div w:id="619649238">
              <w:marLeft w:val="0"/>
              <w:marRight w:val="0"/>
              <w:marTop w:val="0"/>
              <w:marBottom w:val="0"/>
              <w:divBdr>
                <w:top w:val="none" w:sz="0" w:space="0" w:color="auto"/>
                <w:left w:val="none" w:sz="0" w:space="0" w:color="auto"/>
                <w:bottom w:val="none" w:sz="0" w:space="0" w:color="auto"/>
                <w:right w:val="none" w:sz="0" w:space="0" w:color="auto"/>
              </w:divBdr>
            </w:div>
            <w:div w:id="61964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49227">
      <w:marLeft w:val="0"/>
      <w:marRight w:val="0"/>
      <w:marTop w:val="0"/>
      <w:marBottom w:val="0"/>
      <w:divBdr>
        <w:top w:val="none" w:sz="0" w:space="0" w:color="auto"/>
        <w:left w:val="none" w:sz="0" w:space="0" w:color="auto"/>
        <w:bottom w:val="none" w:sz="0" w:space="0" w:color="auto"/>
        <w:right w:val="none" w:sz="0" w:space="0" w:color="auto"/>
      </w:divBdr>
      <w:divsChild>
        <w:div w:id="619649236">
          <w:marLeft w:val="0"/>
          <w:marRight w:val="0"/>
          <w:marTop w:val="0"/>
          <w:marBottom w:val="0"/>
          <w:divBdr>
            <w:top w:val="none" w:sz="0" w:space="0" w:color="auto"/>
            <w:left w:val="none" w:sz="0" w:space="0" w:color="auto"/>
            <w:bottom w:val="none" w:sz="0" w:space="0" w:color="auto"/>
            <w:right w:val="none" w:sz="0" w:space="0" w:color="auto"/>
          </w:divBdr>
          <w:divsChild>
            <w:div w:id="619649222">
              <w:marLeft w:val="0"/>
              <w:marRight w:val="0"/>
              <w:marTop w:val="0"/>
              <w:marBottom w:val="0"/>
              <w:divBdr>
                <w:top w:val="none" w:sz="0" w:space="0" w:color="auto"/>
                <w:left w:val="none" w:sz="0" w:space="0" w:color="auto"/>
                <w:bottom w:val="none" w:sz="0" w:space="0" w:color="auto"/>
                <w:right w:val="none" w:sz="0" w:space="0" w:color="auto"/>
              </w:divBdr>
            </w:div>
            <w:div w:id="619649229">
              <w:marLeft w:val="0"/>
              <w:marRight w:val="0"/>
              <w:marTop w:val="0"/>
              <w:marBottom w:val="0"/>
              <w:divBdr>
                <w:top w:val="none" w:sz="0" w:space="0" w:color="auto"/>
                <w:left w:val="none" w:sz="0" w:space="0" w:color="auto"/>
                <w:bottom w:val="none" w:sz="0" w:space="0" w:color="auto"/>
                <w:right w:val="none" w:sz="0" w:space="0" w:color="auto"/>
              </w:divBdr>
            </w:div>
            <w:div w:id="61964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49242">
      <w:marLeft w:val="0"/>
      <w:marRight w:val="0"/>
      <w:marTop w:val="0"/>
      <w:marBottom w:val="0"/>
      <w:divBdr>
        <w:top w:val="none" w:sz="0" w:space="0" w:color="auto"/>
        <w:left w:val="none" w:sz="0" w:space="0" w:color="auto"/>
        <w:bottom w:val="none" w:sz="0" w:space="0" w:color="auto"/>
        <w:right w:val="none" w:sz="0" w:space="0" w:color="auto"/>
      </w:divBdr>
      <w:divsChild>
        <w:div w:id="619649240">
          <w:marLeft w:val="0"/>
          <w:marRight w:val="0"/>
          <w:marTop w:val="0"/>
          <w:marBottom w:val="0"/>
          <w:divBdr>
            <w:top w:val="none" w:sz="0" w:space="0" w:color="auto"/>
            <w:left w:val="none" w:sz="0" w:space="0" w:color="auto"/>
            <w:bottom w:val="none" w:sz="0" w:space="0" w:color="auto"/>
            <w:right w:val="none" w:sz="0" w:space="0" w:color="auto"/>
          </w:divBdr>
          <w:divsChild>
            <w:div w:id="619649225">
              <w:marLeft w:val="0"/>
              <w:marRight w:val="0"/>
              <w:marTop w:val="0"/>
              <w:marBottom w:val="0"/>
              <w:divBdr>
                <w:top w:val="none" w:sz="0" w:space="0" w:color="auto"/>
                <w:left w:val="none" w:sz="0" w:space="0" w:color="auto"/>
                <w:bottom w:val="none" w:sz="0" w:space="0" w:color="auto"/>
                <w:right w:val="none" w:sz="0" w:space="0" w:color="auto"/>
              </w:divBdr>
            </w:div>
            <w:div w:id="619649228">
              <w:marLeft w:val="0"/>
              <w:marRight w:val="0"/>
              <w:marTop w:val="0"/>
              <w:marBottom w:val="0"/>
              <w:divBdr>
                <w:top w:val="none" w:sz="0" w:space="0" w:color="auto"/>
                <w:left w:val="none" w:sz="0" w:space="0" w:color="auto"/>
                <w:bottom w:val="none" w:sz="0" w:space="0" w:color="auto"/>
                <w:right w:val="none" w:sz="0" w:space="0" w:color="auto"/>
              </w:divBdr>
            </w:div>
            <w:div w:id="619649234">
              <w:marLeft w:val="0"/>
              <w:marRight w:val="0"/>
              <w:marTop w:val="0"/>
              <w:marBottom w:val="0"/>
              <w:divBdr>
                <w:top w:val="none" w:sz="0" w:space="0" w:color="auto"/>
                <w:left w:val="none" w:sz="0" w:space="0" w:color="auto"/>
                <w:bottom w:val="none" w:sz="0" w:space="0" w:color="auto"/>
                <w:right w:val="none" w:sz="0" w:space="0" w:color="auto"/>
              </w:divBdr>
            </w:div>
            <w:div w:id="619649241">
              <w:marLeft w:val="0"/>
              <w:marRight w:val="0"/>
              <w:marTop w:val="0"/>
              <w:marBottom w:val="0"/>
              <w:divBdr>
                <w:top w:val="none" w:sz="0" w:space="0" w:color="auto"/>
                <w:left w:val="none" w:sz="0" w:space="0" w:color="auto"/>
                <w:bottom w:val="none" w:sz="0" w:space="0" w:color="auto"/>
                <w:right w:val="none" w:sz="0" w:space="0" w:color="auto"/>
              </w:divBdr>
            </w:div>
            <w:div w:id="619649243">
              <w:marLeft w:val="0"/>
              <w:marRight w:val="0"/>
              <w:marTop w:val="0"/>
              <w:marBottom w:val="0"/>
              <w:divBdr>
                <w:top w:val="none" w:sz="0" w:space="0" w:color="auto"/>
                <w:left w:val="none" w:sz="0" w:space="0" w:color="auto"/>
                <w:bottom w:val="none" w:sz="0" w:space="0" w:color="auto"/>
                <w:right w:val="none" w:sz="0" w:space="0" w:color="auto"/>
              </w:divBdr>
            </w:div>
            <w:div w:id="619649246">
              <w:marLeft w:val="0"/>
              <w:marRight w:val="0"/>
              <w:marTop w:val="0"/>
              <w:marBottom w:val="0"/>
              <w:divBdr>
                <w:top w:val="none" w:sz="0" w:space="0" w:color="auto"/>
                <w:left w:val="none" w:sz="0" w:space="0" w:color="auto"/>
                <w:bottom w:val="none" w:sz="0" w:space="0" w:color="auto"/>
                <w:right w:val="none" w:sz="0" w:space="0" w:color="auto"/>
              </w:divBdr>
            </w:div>
            <w:div w:id="61964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asociaceveritelu.cz" TargetMode="External"/><Relationship Id="rId8" Type="http://schemas.openxmlformats.org/officeDocument/2006/relationships/hyperlink" Target="mailto:media@asociaceveritelu.cz"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942</Words>
  <Characters>5370</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Česká asociace věřitelů podporuje humanizaci exekucí</vt:lpstr>
    </vt:vector>
  </TitlesOfParts>
  <Company>GOPAS, a.s.</Company>
  <LinksUpToDate>false</LinksUpToDate>
  <CharactersWithSpaces>6300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Česká asociace věřitelů podporuje humanizaci exekucí</dc:title>
  <dc:subject/>
  <dc:creator>xxx</dc:creator>
  <cp:keywords/>
  <dc:description/>
  <cp:lastModifiedBy>Alžběta Běličová</cp:lastModifiedBy>
  <cp:revision>2</cp:revision>
  <dcterms:created xsi:type="dcterms:W3CDTF">2017-05-25T14:28:00Z</dcterms:created>
  <dcterms:modified xsi:type="dcterms:W3CDTF">2017-05-25T14:28:00Z</dcterms:modified>
</cp:coreProperties>
</file>