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111C" w:rsidRDefault="00191123" w:rsidP="0098499E">
      <w:pPr>
        <w:spacing w:after="480" w:line="280" w:lineRule="atLeast"/>
        <w:rPr>
          <w:rFonts w:cs="Arial"/>
          <w:i/>
          <w:szCs w:val="20"/>
        </w:rPr>
      </w:pPr>
      <w:r>
        <w:rPr>
          <w:rFonts w:cs="Arial"/>
          <w:i/>
          <w:szCs w:val="20"/>
        </w:rPr>
        <w:t>Tisková zpráva, 13</w:t>
      </w:r>
      <w:r w:rsidR="0005111C" w:rsidRPr="002A1EB2">
        <w:rPr>
          <w:rFonts w:cs="Arial"/>
          <w:i/>
          <w:szCs w:val="20"/>
        </w:rPr>
        <w:t>.</w:t>
      </w:r>
      <w:r w:rsidR="0005111C">
        <w:rPr>
          <w:rFonts w:cs="Arial"/>
          <w:i/>
          <w:szCs w:val="20"/>
        </w:rPr>
        <w:t xml:space="preserve"> </w:t>
      </w:r>
      <w:r>
        <w:rPr>
          <w:rFonts w:cs="Arial"/>
          <w:i/>
          <w:szCs w:val="20"/>
        </w:rPr>
        <w:t>října</w:t>
      </w:r>
      <w:r w:rsidR="0005111C">
        <w:rPr>
          <w:rFonts w:cs="Arial"/>
          <w:i/>
          <w:szCs w:val="20"/>
        </w:rPr>
        <w:t xml:space="preserve"> 2016</w:t>
      </w:r>
    </w:p>
    <w:p w:rsidR="00191123" w:rsidRDefault="00191123" w:rsidP="002E356D">
      <w:pPr>
        <w:spacing w:after="120"/>
        <w:jc w:val="both"/>
        <w:rPr>
          <w:b/>
          <w:szCs w:val="22"/>
        </w:rPr>
      </w:pPr>
      <w:r w:rsidRPr="00E33B21">
        <w:rPr>
          <w:b/>
          <w:szCs w:val="22"/>
        </w:rPr>
        <w:t>Reakce na plánované změny v exekucích a insolvencích, které dnes představilo Ministerstvo spravedlnosti</w:t>
      </w:r>
    </w:p>
    <w:p w:rsidR="00E33B21" w:rsidRPr="00E33B21" w:rsidRDefault="00E33B21" w:rsidP="002E356D">
      <w:pPr>
        <w:spacing w:after="120"/>
        <w:jc w:val="both"/>
        <w:rPr>
          <w:b/>
          <w:szCs w:val="22"/>
        </w:rPr>
      </w:pPr>
    </w:p>
    <w:p w:rsidR="00191123" w:rsidRDefault="00191123" w:rsidP="00191123">
      <w:pPr>
        <w:spacing w:after="120"/>
        <w:jc w:val="both"/>
        <w:rPr>
          <w:b/>
          <w:sz w:val="34"/>
          <w:szCs w:val="34"/>
        </w:rPr>
      </w:pPr>
      <w:r>
        <w:rPr>
          <w:b/>
          <w:sz w:val="34"/>
          <w:szCs w:val="34"/>
        </w:rPr>
        <w:t>Navrhované změny exekucí a insolvencí jsou pro věřitele zdrcující a zcela ochromí vymahatelnost jejich práv</w:t>
      </w:r>
    </w:p>
    <w:p w:rsidR="00191123" w:rsidRDefault="00191123" w:rsidP="002E356D">
      <w:pPr>
        <w:spacing w:after="120"/>
        <w:jc w:val="both"/>
        <w:rPr>
          <w:b/>
        </w:rPr>
      </w:pPr>
    </w:p>
    <w:p w:rsidR="003E0D2F" w:rsidRDefault="00191123" w:rsidP="002E356D">
      <w:pPr>
        <w:spacing w:after="120"/>
        <w:jc w:val="both"/>
        <w:rPr>
          <w:b/>
        </w:rPr>
      </w:pPr>
      <w:r>
        <w:rPr>
          <w:b/>
        </w:rPr>
        <w:t xml:space="preserve">Česká asociace věřitelů je znepokojena změnami v oblasti exekucí a osobních bankrotů, které dnes představil ministr spravedlnosti Robert Pelikán. Jejich přijetí by znamenalo </w:t>
      </w:r>
      <w:r w:rsidR="00E33B21">
        <w:rPr>
          <w:b/>
        </w:rPr>
        <w:t xml:space="preserve">zcela zásadní </w:t>
      </w:r>
      <w:r w:rsidR="008F549C">
        <w:rPr>
          <w:b/>
        </w:rPr>
        <w:t>a </w:t>
      </w:r>
      <w:r>
        <w:rPr>
          <w:b/>
        </w:rPr>
        <w:t xml:space="preserve">nespravedlivý zásah do </w:t>
      </w:r>
      <w:r w:rsidR="008F549C">
        <w:rPr>
          <w:b/>
        </w:rPr>
        <w:t>práv věřitelů</w:t>
      </w:r>
      <w:r w:rsidR="00E33B21">
        <w:rPr>
          <w:b/>
        </w:rPr>
        <w:t xml:space="preserve">. V případě zavedení povinných exekučních záloh, a to zvláště v kombinaci s teritoriálním principem přidělování případů jednotlivým exekutorským úřadům, </w:t>
      </w:r>
      <w:r w:rsidR="003E0D2F">
        <w:rPr>
          <w:b/>
        </w:rPr>
        <w:t xml:space="preserve">může </w:t>
      </w:r>
      <w:r w:rsidR="00E33B21">
        <w:rPr>
          <w:b/>
        </w:rPr>
        <w:t xml:space="preserve">pro věřitele exekuční vymáhání pohledávek z ekonomického hlediska </w:t>
      </w:r>
      <w:r w:rsidR="003E0D2F">
        <w:rPr>
          <w:b/>
        </w:rPr>
        <w:t xml:space="preserve">zcela přestat </w:t>
      </w:r>
      <w:r w:rsidR="00E33B21">
        <w:rPr>
          <w:b/>
        </w:rPr>
        <w:t xml:space="preserve">dávat smysl. </w:t>
      </w:r>
      <w:r w:rsidR="003E0D2F">
        <w:rPr>
          <w:b/>
        </w:rPr>
        <w:t>V řadě případů by totiž za snahu o vymožení svých práv zaplatili více, než by následně reálně získali. Odstraněním minimální hranice splacení dluhu pro zahájení osobního bankrotu pak věřitelé ztrácejí jakoukoli garanci, že se domohou alespoň části svých oprávněných nároků.</w:t>
      </w:r>
    </w:p>
    <w:p w:rsidR="003E0D2F" w:rsidRDefault="003E0D2F" w:rsidP="003E0D2F">
      <w:pPr>
        <w:spacing w:after="120"/>
        <w:jc w:val="both"/>
        <w:rPr>
          <w:iCs/>
        </w:rPr>
      </w:pPr>
      <w:r w:rsidRPr="003E0D2F">
        <w:rPr>
          <w:iCs/>
        </w:rPr>
        <w:t>„</w:t>
      </w:r>
      <w:r w:rsidRPr="003E0D2F">
        <w:rPr>
          <w:i/>
          <w:iCs/>
        </w:rPr>
        <w:t xml:space="preserve">Plánované rozvolnění podmínek oddlužení považujeme za velmi nebezpečné a k věřitelům mimořádně nespravedlivé. Již současná hranice 30 procent je pro </w:t>
      </w:r>
      <w:r>
        <w:rPr>
          <w:i/>
          <w:iCs/>
        </w:rPr>
        <w:t>ně</w:t>
      </w:r>
      <w:r w:rsidRPr="003E0D2F">
        <w:rPr>
          <w:i/>
          <w:iCs/>
        </w:rPr>
        <w:t xml:space="preserve"> velmi nevýhodná. Její odstranění pak pro dlužníky může být signálem, že nově své dluhy nemusejí splácet již vůbec. To je zároveň následně může motivovat k tomu, aby vědomě vytvářeli a nespláceli další dluhy</w:t>
      </w:r>
      <w:r w:rsidRPr="003E0D2F">
        <w:rPr>
          <w:iCs/>
        </w:rPr>
        <w:t xml:space="preserve">,“ </w:t>
      </w:r>
      <w:r>
        <w:rPr>
          <w:iCs/>
        </w:rPr>
        <w:t xml:space="preserve">varuje Pavel Staněk, </w:t>
      </w:r>
      <w:r w:rsidR="0079237C">
        <w:rPr>
          <w:iCs/>
        </w:rPr>
        <w:t xml:space="preserve">advokát a </w:t>
      </w:r>
      <w:r>
        <w:rPr>
          <w:iCs/>
        </w:rPr>
        <w:t>prezident České asociace věřitelů.</w:t>
      </w:r>
      <w:r w:rsidR="00717DFB">
        <w:rPr>
          <w:iCs/>
        </w:rPr>
        <w:t xml:space="preserve"> Za velmi nežádoucí považuje i prodloužení lhůty pro spl</w:t>
      </w:r>
      <w:r w:rsidR="0079237C">
        <w:rPr>
          <w:iCs/>
        </w:rPr>
        <w:t>a</w:t>
      </w:r>
      <w:r w:rsidR="00717DFB">
        <w:rPr>
          <w:iCs/>
        </w:rPr>
        <w:t>cení dluhu z 5 na 7 let.</w:t>
      </w:r>
    </w:p>
    <w:p w:rsidR="003E0D2F" w:rsidRPr="003E0D2F" w:rsidRDefault="003E0D2F" w:rsidP="003E0D2F">
      <w:pPr>
        <w:spacing w:after="120"/>
        <w:jc w:val="both"/>
        <w:rPr>
          <w:iCs/>
        </w:rPr>
      </w:pPr>
      <w:r>
        <w:rPr>
          <w:iCs/>
        </w:rPr>
        <w:t xml:space="preserve">Asociace </w:t>
      </w:r>
      <w:r w:rsidR="00717DFB">
        <w:rPr>
          <w:iCs/>
        </w:rPr>
        <w:t xml:space="preserve">naopak </w:t>
      </w:r>
      <w:r>
        <w:rPr>
          <w:iCs/>
        </w:rPr>
        <w:t xml:space="preserve">oceňuje </w:t>
      </w:r>
      <w:r w:rsidR="00717DFB">
        <w:rPr>
          <w:iCs/>
        </w:rPr>
        <w:t xml:space="preserve">novou možnost prodeje majetku dlužníka v kombinaci se splátkovým kalendářem a také </w:t>
      </w:r>
      <w:r>
        <w:rPr>
          <w:iCs/>
        </w:rPr>
        <w:t xml:space="preserve">plánovaný výraznější dohled nad dlužníky ze strany </w:t>
      </w:r>
      <w:proofErr w:type="spellStart"/>
      <w:r>
        <w:rPr>
          <w:iCs/>
        </w:rPr>
        <w:t>insolvenčních</w:t>
      </w:r>
      <w:proofErr w:type="spellEnd"/>
      <w:r>
        <w:rPr>
          <w:iCs/>
        </w:rPr>
        <w:t xml:space="preserve"> správců. „</w:t>
      </w:r>
      <w:r w:rsidRPr="003E0D2F">
        <w:rPr>
          <w:i/>
        </w:rPr>
        <w:t>Nicméně přestože by zvýšení dohledu nad dlužníky jistě bylo přínosné, obávám</w:t>
      </w:r>
      <w:r>
        <w:rPr>
          <w:i/>
        </w:rPr>
        <w:t xml:space="preserve"> se zároveň</w:t>
      </w:r>
      <w:r w:rsidRPr="003E0D2F">
        <w:rPr>
          <w:i/>
        </w:rPr>
        <w:t xml:space="preserve">, že by nebylo všespásné. </w:t>
      </w:r>
      <w:r w:rsidR="00717DFB" w:rsidRPr="00717DFB">
        <w:rPr>
          <w:i/>
        </w:rPr>
        <w:t xml:space="preserve">I dnes se stává, že ačkoliv věřitel upozorní </w:t>
      </w:r>
      <w:proofErr w:type="spellStart"/>
      <w:r w:rsidR="00717DFB" w:rsidRPr="00717DFB">
        <w:rPr>
          <w:i/>
        </w:rPr>
        <w:t>insolvenčního</w:t>
      </w:r>
      <w:proofErr w:type="spellEnd"/>
      <w:r w:rsidR="00717DFB" w:rsidRPr="00717DFB">
        <w:rPr>
          <w:i/>
        </w:rPr>
        <w:t xml:space="preserve"> správce na to, že si dlužník žije nad poměry osobního bankrotu a musí tedy disponovat nepřiznanými finančními prostředky, reálná průkaznost takových tvrzení bývá poměrně nízká a dlužníkům tak stále zůstává prostor, jak institutu osobního bankrotu zneužívat.</w:t>
      </w:r>
      <w:r w:rsidR="00717DFB">
        <w:rPr>
          <w:i/>
        </w:rPr>
        <w:t xml:space="preserve"> </w:t>
      </w:r>
      <w:proofErr w:type="spellStart"/>
      <w:r w:rsidRPr="003E0D2F">
        <w:rPr>
          <w:i/>
        </w:rPr>
        <w:t>Insolvenční</w:t>
      </w:r>
      <w:proofErr w:type="spellEnd"/>
      <w:r w:rsidRPr="003E0D2F">
        <w:rPr>
          <w:i/>
        </w:rPr>
        <w:t xml:space="preserve"> správce by v podstatě musel dlužníka kontrolovat 24 hodin denně, což je nemožné</w:t>
      </w:r>
      <w:r w:rsidR="00717DFB" w:rsidRPr="00717DFB">
        <w:t>,“</w:t>
      </w:r>
      <w:r w:rsidR="00717DFB">
        <w:t xml:space="preserve"> říká Staněk. </w:t>
      </w:r>
    </w:p>
    <w:p w:rsidR="00003A9E" w:rsidRDefault="00717DFB" w:rsidP="002E356D">
      <w:pPr>
        <w:spacing w:after="120"/>
        <w:jc w:val="both"/>
      </w:pPr>
      <w:r>
        <w:t>Velmi negativní důsledky by pak věřitelům přinesl</w:t>
      </w:r>
      <w:r w:rsidR="0079237C">
        <w:t>y</w:t>
      </w:r>
      <w:r>
        <w:t xml:space="preserve"> </w:t>
      </w:r>
      <w:r w:rsidR="0079237C">
        <w:t xml:space="preserve">i </w:t>
      </w:r>
      <w:r>
        <w:t xml:space="preserve">představené změny </w:t>
      </w:r>
      <w:r w:rsidR="0079237C">
        <w:t xml:space="preserve">v </w:t>
      </w:r>
      <w:r>
        <w:t>exekuční</w:t>
      </w:r>
      <w:r w:rsidR="0079237C">
        <w:t>m</w:t>
      </w:r>
      <w:r>
        <w:t xml:space="preserve"> řízení. Přidělování exekucí podle principu „jeden dlužník, jeden exekutor“</w:t>
      </w:r>
      <w:r w:rsidR="00003A9E">
        <w:t xml:space="preserve">, a to </w:t>
      </w:r>
      <w:r w:rsidR="0079237C">
        <w:t xml:space="preserve">konkrétně </w:t>
      </w:r>
      <w:r w:rsidR="00003A9E">
        <w:t>ten, který je dlužníkovi nejblíže,</w:t>
      </w:r>
      <w:r>
        <w:t xml:space="preserve"> znamená de facto přijetí tzv.</w:t>
      </w:r>
      <w:r w:rsidR="00003A9E">
        <w:t xml:space="preserve"> exekutorské teritoriality. Ministerstvo spravedlnosti přitom ještě nedávno vystupovalo proti zavedení teritoriálního principu, protože by podle analýzy, kterou si nechalo zpracovat v loňském roce, znamenalo výrazný pokles vymahatelnosti pohledávek.</w:t>
      </w:r>
    </w:p>
    <w:p w:rsidR="00003A9E" w:rsidRDefault="00003A9E" w:rsidP="00003A9E">
      <w:pPr>
        <w:spacing w:after="120"/>
        <w:jc w:val="both"/>
      </w:pPr>
      <w:r>
        <w:t>Zavedení teritoriality by pro věřitele bylo o to horší, že současně s ní ministerstvo plánuje i zavedení povinných záloh od věřitelů. „</w:t>
      </w:r>
      <w:r w:rsidRPr="00EB0DBF">
        <w:rPr>
          <w:i/>
        </w:rPr>
        <w:t xml:space="preserve">Věřitelé by si v takovém případě nemohli svobodně zvolit úřad, kterému svěří vymáhání svých pohledávek. I pokud by se službami soudem přiděleného </w:t>
      </w:r>
      <w:r>
        <w:rPr>
          <w:i/>
        </w:rPr>
        <w:t>exekutora</w:t>
      </w:r>
      <w:r w:rsidRPr="00EB0DBF">
        <w:rPr>
          <w:i/>
        </w:rPr>
        <w:t xml:space="preserve"> </w:t>
      </w:r>
      <w:r>
        <w:rPr>
          <w:i/>
        </w:rPr>
        <w:t xml:space="preserve">nebyli </w:t>
      </w:r>
      <w:r w:rsidRPr="00EB0DBF">
        <w:rPr>
          <w:i/>
        </w:rPr>
        <w:t xml:space="preserve">spokojeni, museli by </w:t>
      </w:r>
      <w:r>
        <w:rPr>
          <w:i/>
        </w:rPr>
        <w:t>fakticky i tak proti své vůli dotovat</w:t>
      </w:r>
      <w:r w:rsidRPr="00EB0DBF">
        <w:rPr>
          <w:i/>
        </w:rPr>
        <w:t xml:space="preserve"> jeho činnost</w:t>
      </w:r>
      <w:r>
        <w:t>,“ poukazuje Staněk na potenciální nespravedlnost. Na nákladech za vymáhání by navíc řada věřitelů celkově zaplatila víc, než by při současné vymahatelnosti pohledávek ve výsledku získala.</w:t>
      </w:r>
    </w:p>
    <w:p w:rsidR="003E0D2F" w:rsidRDefault="003E0D2F" w:rsidP="002E356D">
      <w:pPr>
        <w:spacing w:after="120"/>
        <w:jc w:val="both"/>
      </w:pPr>
    </w:p>
    <w:p w:rsidR="008F549C" w:rsidRDefault="008F549C" w:rsidP="003D54CC">
      <w:pPr>
        <w:tabs>
          <w:tab w:val="num" w:pos="720"/>
        </w:tabs>
        <w:spacing w:after="120"/>
        <w:jc w:val="both"/>
      </w:pPr>
    </w:p>
    <w:p w:rsidR="0005111C" w:rsidRDefault="0005111C" w:rsidP="003D54CC">
      <w:pPr>
        <w:tabs>
          <w:tab w:val="num" w:pos="720"/>
        </w:tabs>
        <w:spacing w:after="120"/>
        <w:jc w:val="both"/>
      </w:pPr>
    </w:p>
    <w:p w:rsidR="0005111C" w:rsidRPr="00AE1EC7" w:rsidRDefault="0005111C" w:rsidP="00F05E27">
      <w:pPr>
        <w:spacing w:after="60"/>
        <w:rPr>
          <w:b/>
          <w:sz w:val="24"/>
          <w:shd w:val="clear" w:color="auto" w:fill="FBFBFB"/>
        </w:rPr>
      </w:pPr>
      <w:r w:rsidRPr="00354287">
        <w:rPr>
          <w:b/>
          <w:sz w:val="24"/>
          <w:shd w:val="clear" w:color="auto" w:fill="FBFBFB"/>
        </w:rPr>
        <w:lastRenderedPageBreak/>
        <w:t>O České asociaci věřitelů</w:t>
      </w:r>
    </w:p>
    <w:p w:rsidR="0005111C" w:rsidRDefault="0005111C" w:rsidP="00F05E27">
      <w:pPr>
        <w:jc w:val="both"/>
        <w:rPr>
          <w:bCs/>
        </w:rPr>
      </w:pPr>
      <w:r>
        <w:t xml:space="preserve">Česká asociace věřitelů je sdružením </w:t>
      </w:r>
      <w:r w:rsidRPr="009907FD">
        <w:t xml:space="preserve">fyzických a právnických osob, jehož </w:t>
      </w:r>
      <w:r w:rsidRPr="00B043FA">
        <w:rPr>
          <w:b/>
        </w:rPr>
        <w:t>hlavním cílem je hájit zájmy věřitelských subjektů v České republice</w:t>
      </w:r>
      <w:r>
        <w:rPr>
          <w:shd w:val="clear" w:color="auto" w:fill="FFFFFF"/>
        </w:rPr>
        <w:t xml:space="preserve">. </w:t>
      </w:r>
      <w:r>
        <w:t xml:space="preserve">Byla založena 31. prosince </w:t>
      </w:r>
      <w:smartTag w:uri="urn:schemas-microsoft-com:office:smarttags" w:element="metricconverter">
        <w:smartTagPr>
          <w:attr w:name="ProductID" w:val="2013 a"/>
        </w:smartTagPr>
        <w:r>
          <w:t>2013 a</w:t>
        </w:r>
      </w:smartTag>
      <w:r>
        <w:t xml:space="preserve"> její </w:t>
      </w:r>
      <w:r>
        <w:rPr>
          <w:shd w:val="clear" w:color="auto" w:fill="FFFFFF"/>
        </w:rPr>
        <w:t xml:space="preserve">vznik byl motivován především skutečností, že zde, na rozdíl od velkého množství organizací bojujících za práva spotřebitelů, dlužníků, zadlužených či předlužených osob, doposud neexistoval subjekt, který by svým zaměřením a komplexním přístupem přispíval ke zvýšení </w:t>
      </w:r>
      <w:r w:rsidRPr="00B043FA">
        <w:rPr>
          <w:shd w:val="clear" w:color="auto" w:fill="FFFFFF"/>
        </w:rPr>
        <w:t>ochrany oprávněných zájmů všech věřitelů</w:t>
      </w:r>
      <w:r w:rsidRPr="00B043FA">
        <w:rPr>
          <w:b/>
          <w:shd w:val="clear" w:color="auto" w:fill="FFFFFF"/>
        </w:rPr>
        <w:t xml:space="preserve"> bez ohledu na jejich profesní či oborové zaměření</w:t>
      </w:r>
      <w:r>
        <w:rPr>
          <w:shd w:val="clear" w:color="auto" w:fill="FFFFFF"/>
        </w:rPr>
        <w:t xml:space="preserve">. </w:t>
      </w:r>
      <w:r>
        <w:t>Tuto úlohu dílčím způsobem plnilo několik asociací, komor či</w:t>
      </w:r>
      <w:r w:rsidRPr="009907FD">
        <w:t xml:space="preserve"> zájmových sdružení, většinou </w:t>
      </w:r>
      <w:r>
        <w:t>se však jednalo</w:t>
      </w:r>
      <w:r w:rsidRPr="009907FD">
        <w:t xml:space="preserve"> o aktivity značně roztříštěné.</w:t>
      </w:r>
      <w:r>
        <w:t xml:space="preserve"> Záměrem České asociace věřitelů je chránit práva věřitelů </w:t>
      </w:r>
      <w:r w:rsidRPr="00B043FA">
        <w:rPr>
          <w:b/>
        </w:rPr>
        <w:t>nejen</w:t>
      </w:r>
      <w:r>
        <w:rPr>
          <w:b/>
        </w:rPr>
        <w:t xml:space="preserve"> z řad velkých institucí, ale i </w:t>
      </w:r>
      <w:r w:rsidRPr="00B043FA">
        <w:rPr>
          <w:b/>
        </w:rPr>
        <w:t>řadových občanů</w:t>
      </w:r>
      <w:r>
        <w:t xml:space="preserve">, přispívat ke </w:t>
      </w:r>
      <w:r w:rsidRPr="00B043FA">
        <w:rPr>
          <w:b/>
        </w:rPr>
        <w:t>zlepšení a zefektivnění právního systému</w:t>
      </w:r>
      <w:r>
        <w:t xml:space="preserve"> i </w:t>
      </w:r>
      <w:r w:rsidRPr="00B043FA">
        <w:rPr>
          <w:b/>
        </w:rPr>
        <w:t>celospolečenské osvětě</w:t>
      </w:r>
      <w:r>
        <w:t>, která povede ke spravedlivému uspořádání vztahů mezi věřiteli a dlužníky.</w:t>
      </w:r>
    </w:p>
    <w:p w:rsidR="0005111C" w:rsidRDefault="0005111C" w:rsidP="00F05E27">
      <w:pPr>
        <w:rPr>
          <w:bCs/>
        </w:rPr>
      </w:pPr>
      <w:r>
        <w:rPr>
          <w:bCs/>
        </w:rPr>
        <w:t xml:space="preserve">Více informací na </w:t>
      </w:r>
      <w:hyperlink r:id="rId7" w:history="1">
        <w:r w:rsidRPr="00692853">
          <w:rPr>
            <w:rStyle w:val="Hypertextovodkaz"/>
            <w:bCs/>
          </w:rPr>
          <w:t>www.asociaceveritelu.cz</w:t>
        </w:r>
      </w:hyperlink>
    </w:p>
    <w:p w:rsidR="0005111C" w:rsidRDefault="0005111C" w:rsidP="00F05E27">
      <w:pPr>
        <w:rPr>
          <w:bCs/>
        </w:rPr>
      </w:pPr>
    </w:p>
    <w:p w:rsidR="0005111C" w:rsidRDefault="0005111C" w:rsidP="00F05E27">
      <w:pPr>
        <w:rPr>
          <w:bCs/>
        </w:rPr>
      </w:pPr>
    </w:p>
    <w:p w:rsidR="0005111C" w:rsidRDefault="0005111C" w:rsidP="00F05E27">
      <w:pPr>
        <w:rPr>
          <w:bCs/>
        </w:rPr>
      </w:pPr>
    </w:p>
    <w:p w:rsidR="0005111C" w:rsidRPr="003E2304" w:rsidRDefault="0005111C" w:rsidP="00F05E27">
      <w:pPr>
        <w:pBdr>
          <w:top w:val="single" w:sz="4" w:space="1" w:color="auto"/>
        </w:pBdr>
        <w:shd w:val="clear" w:color="auto" w:fill="FFFFFF"/>
        <w:spacing w:after="60"/>
        <w:rPr>
          <w:rFonts w:cs="Arial"/>
          <w:b/>
          <w:bCs/>
          <w:sz w:val="24"/>
        </w:rPr>
      </w:pPr>
      <w:r w:rsidRPr="00157688">
        <w:rPr>
          <w:rFonts w:cs="Arial"/>
          <w:b/>
          <w:bCs/>
          <w:sz w:val="24"/>
        </w:rPr>
        <w:t>Kontakt</w:t>
      </w:r>
      <w:r>
        <w:rPr>
          <w:rFonts w:cs="Arial"/>
          <w:b/>
          <w:bCs/>
          <w:sz w:val="24"/>
        </w:rPr>
        <w:t xml:space="preserve"> pro média</w:t>
      </w:r>
      <w:r w:rsidRPr="00157688">
        <w:rPr>
          <w:rFonts w:cs="Arial"/>
          <w:b/>
          <w:bCs/>
          <w:sz w:val="24"/>
        </w:rPr>
        <w:t>:</w:t>
      </w:r>
    </w:p>
    <w:p w:rsidR="0005111C" w:rsidRPr="00BC3790" w:rsidRDefault="0005111C" w:rsidP="00F05E27">
      <w:pPr>
        <w:pBdr>
          <w:top w:val="single" w:sz="4" w:space="1" w:color="auto"/>
        </w:pBdr>
        <w:shd w:val="clear" w:color="auto" w:fill="FFFFFF"/>
        <w:rPr>
          <w:rFonts w:cs="Arial"/>
          <w:szCs w:val="20"/>
        </w:rPr>
      </w:pPr>
      <w:smartTag w:uri="urn:schemas-microsoft-com:office:smarttags" w:element="PersonName">
        <w:smartTagPr>
          <w:attr w:name="ProductID" w:val="Alžběta Běličová"/>
        </w:smartTagPr>
        <w:r w:rsidRPr="00BC3790">
          <w:rPr>
            <w:rFonts w:cs="Arial"/>
            <w:bCs/>
            <w:szCs w:val="20"/>
          </w:rPr>
          <w:t>Alžběta Běličová</w:t>
        </w:r>
      </w:smartTag>
    </w:p>
    <w:p w:rsidR="0005111C" w:rsidRDefault="0005111C" w:rsidP="00F05E27">
      <w:pPr>
        <w:rPr>
          <w:rFonts w:cs="Arial"/>
          <w:szCs w:val="20"/>
        </w:rPr>
      </w:pPr>
      <w:r w:rsidRPr="00BC3790">
        <w:rPr>
          <w:rFonts w:cs="Arial"/>
          <w:szCs w:val="20"/>
        </w:rPr>
        <w:t>mediální konzultant ČAV</w:t>
      </w:r>
    </w:p>
    <w:p w:rsidR="0005111C" w:rsidRPr="00AA698E" w:rsidRDefault="0005111C" w:rsidP="00F05E27">
      <w:r>
        <w:t xml:space="preserve">E-mail: </w:t>
      </w:r>
      <w:hyperlink r:id="rId8" w:history="1">
        <w:r w:rsidRPr="00602830">
          <w:rPr>
            <w:rStyle w:val="Hypertextovodkaz"/>
          </w:rPr>
          <w:t>media@asociaceveritelu.cz</w:t>
        </w:r>
      </w:hyperlink>
    </w:p>
    <w:p w:rsidR="0005111C" w:rsidRDefault="0005111C" w:rsidP="00F05E27">
      <w:pPr>
        <w:rPr>
          <w:bCs/>
        </w:rPr>
      </w:pPr>
      <w:r>
        <w:rPr>
          <w:bCs/>
        </w:rPr>
        <w:t>Telefon: +420 603 547 021</w:t>
      </w:r>
    </w:p>
    <w:p w:rsidR="0005111C" w:rsidRPr="00BC3790" w:rsidRDefault="0005111C" w:rsidP="00F05E27">
      <w:pPr>
        <w:rPr>
          <w:rFonts w:cs="Arial"/>
          <w:szCs w:val="20"/>
        </w:rPr>
      </w:pPr>
    </w:p>
    <w:p w:rsidR="0005111C" w:rsidRDefault="0005111C" w:rsidP="00831921">
      <w:pPr>
        <w:jc w:val="both"/>
      </w:pPr>
    </w:p>
    <w:sectPr w:rsidR="0005111C" w:rsidSect="0098499E">
      <w:headerReference w:type="default" r:id="rId9"/>
      <w:pgSz w:w="11906" w:h="16838" w:code="9"/>
      <w:pgMar w:top="1701" w:right="1418" w:bottom="1304" w:left="1418" w:header="454"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108B" w:rsidRDefault="0082108B">
      <w:r>
        <w:separator/>
      </w:r>
    </w:p>
  </w:endnote>
  <w:endnote w:type="continuationSeparator" w:id="0">
    <w:p w:rsidR="0082108B" w:rsidRDefault="0082108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108B" w:rsidRDefault="0082108B">
      <w:r>
        <w:separator/>
      </w:r>
    </w:p>
  </w:footnote>
  <w:footnote w:type="continuationSeparator" w:id="0">
    <w:p w:rsidR="0082108B" w:rsidRDefault="0082108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11C" w:rsidRDefault="008F549C" w:rsidP="00F05E27">
    <w:pPr>
      <w:pStyle w:val="Zhlav"/>
      <w:jc w:val="right"/>
    </w:pPr>
    <w:r>
      <w:rPr>
        <w:noProof/>
      </w:rPr>
      <w:drawing>
        <wp:inline distT="0" distB="0" distL="0" distR="0">
          <wp:extent cx="3117215" cy="421640"/>
          <wp:effectExtent l="1905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3117215" cy="42164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00856"/>
    <w:multiLevelType w:val="hybridMultilevel"/>
    <w:tmpl w:val="F3C68E60"/>
    <w:lvl w:ilvl="0" w:tplc="A1523A98">
      <w:start w:val="1"/>
      <w:numFmt w:val="bullet"/>
      <w:lvlText w:val="×"/>
      <w:lvlJc w:val="left"/>
      <w:pPr>
        <w:tabs>
          <w:tab w:val="num" w:pos="720"/>
        </w:tabs>
        <w:ind w:left="720" w:hanging="360"/>
      </w:pPr>
      <w:rPr>
        <w:rFonts w:ascii="Calibri" w:hAnsi="Calibri" w:hint="default"/>
      </w:rPr>
    </w:lvl>
    <w:lvl w:ilvl="1" w:tplc="606EDEF0" w:tentative="1">
      <w:start w:val="1"/>
      <w:numFmt w:val="bullet"/>
      <w:lvlText w:val="×"/>
      <w:lvlJc w:val="left"/>
      <w:pPr>
        <w:tabs>
          <w:tab w:val="num" w:pos="1440"/>
        </w:tabs>
        <w:ind w:left="1440" w:hanging="360"/>
      </w:pPr>
      <w:rPr>
        <w:rFonts w:ascii="Calibri" w:hAnsi="Calibri" w:hint="default"/>
      </w:rPr>
    </w:lvl>
    <w:lvl w:ilvl="2" w:tplc="6138FDE2" w:tentative="1">
      <w:start w:val="1"/>
      <w:numFmt w:val="bullet"/>
      <w:lvlText w:val="×"/>
      <w:lvlJc w:val="left"/>
      <w:pPr>
        <w:tabs>
          <w:tab w:val="num" w:pos="2160"/>
        </w:tabs>
        <w:ind w:left="2160" w:hanging="360"/>
      </w:pPr>
      <w:rPr>
        <w:rFonts w:ascii="Calibri" w:hAnsi="Calibri" w:hint="default"/>
      </w:rPr>
    </w:lvl>
    <w:lvl w:ilvl="3" w:tplc="774CF8B6" w:tentative="1">
      <w:start w:val="1"/>
      <w:numFmt w:val="bullet"/>
      <w:lvlText w:val="×"/>
      <w:lvlJc w:val="left"/>
      <w:pPr>
        <w:tabs>
          <w:tab w:val="num" w:pos="2880"/>
        </w:tabs>
        <w:ind w:left="2880" w:hanging="360"/>
      </w:pPr>
      <w:rPr>
        <w:rFonts w:ascii="Calibri" w:hAnsi="Calibri" w:hint="default"/>
      </w:rPr>
    </w:lvl>
    <w:lvl w:ilvl="4" w:tplc="E696A7F6" w:tentative="1">
      <w:start w:val="1"/>
      <w:numFmt w:val="bullet"/>
      <w:lvlText w:val="×"/>
      <w:lvlJc w:val="left"/>
      <w:pPr>
        <w:tabs>
          <w:tab w:val="num" w:pos="3600"/>
        </w:tabs>
        <w:ind w:left="3600" w:hanging="360"/>
      </w:pPr>
      <w:rPr>
        <w:rFonts w:ascii="Calibri" w:hAnsi="Calibri" w:hint="default"/>
      </w:rPr>
    </w:lvl>
    <w:lvl w:ilvl="5" w:tplc="F42011AE" w:tentative="1">
      <w:start w:val="1"/>
      <w:numFmt w:val="bullet"/>
      <w:lvlText w:val="×"/>
      <w:lvlJc w:val="left"/>
      <w:pPr>
        <w:tabs>
          <w:tab w:val="num" w:pos="4320"/>
        </w:tabs>
        <w:ind w:left="4320" w:hanging="360"/>
      </w:pPr>
      <w:rPr>
        <w:rFonts w:ascii="Calibri" w:hAnsi="Calibri" w:hint="default"/>
      </w:rPr>
    </w:lvl>
    <w:lvl w:ilvl="6" w:tplc="C6BE19DA" w:tentative="1">
      <w:start w:val="1"/>
      <w:numFmt w:val="bullet"/>
      <w:lvlText w:val="×"/>
      <w:lvlJc w:val="left"/>
      <w:pPr>
        <w:tabs>
          <w:tab w:val="num" w:pos="5040"/>
        </w:tabs>
        <w:ind w:left="5040" w:hanging="360"/>
      </w:pPr>
      <w:rPr>
        <w:rFonts w:ascii="Calibri" w:hAnsi="Calibri" w:hint="default"/>
      </w:rPr>
    </w:lvl>
    <w:lvl w:ilvl="7" w:tplc="04826A98" w:tentative="1">
      <w:start w:val="1"/>
      <w:numFmt w:val="bullet"/>
      <w:lvlText w:val="×"/>
      <w:lvlJc w:val="left"/>
      <w:pPr>
        <w:tabs>
          <w:tab w:val="num" w:pos="5760"/>
        </w:tabs>
        <w:ind w:left="5760" w:hanging="360"/>
      </w:pPr>
      <w:rPr>
        <w:rFonts w:ascii="Calibri" w:hAnsi="Calibri" w:hint="default"/>
      </w:rPr>
    </w:lvl>
    <w:lvl w:ilvl="8" w:tplc="B67C61C6" w:tentative="1">
      <w:start w:val="1"/>
      <w:numFmt w:val="bullet"/>
      <w:lvlText w:val="×"/>
      <w:lvlJc w:val="left"/>
      <w:pPr>
        <w:tabs>
          <w:tab w:val="num" w:pos="6480"/>
        </w:tabs>
        <w:ind w:left="6480" w:hanging="360"/>
      </w:pPr>
      <w:rPr>
        <w:rFonts w:ascii="Calibri" w:hAnsi="Calibri" w:hint="default"/>
      </w:rPr>
    </w:lvl>
  </w:abstractNum>
  <w:abstractNum w:abstractNumId="1">
    <w:nsid w:val="099E1553"/>
    <w:multiLevelType w:val="hybridMultilevel"/>
    <w:tmpl w:val="8CC623EC"/>
    <w:lvl w:ilvl="0" w:tplc="9F2620AE">
      <w:start w:val="1"/>
      <w:numFmt w:val="lowerLetter"/>
      <w:lvlText w:val="%1)"/>
      <w:lvlJc w:val="left"/>
      <w:pPr>
        <w:tabs>
          <w:tab w:val="num" w:pos="720"/>
        </w:tabs>
        <w:ind w:left="720" w:hanging="360"/>
      </w:pPr>
      <w:rPr>
        <w:rFonts w:cs="Times New Roman"/>
      </w:rPr>
    </w:lvl>
    <w:lvl w:ilvl="1" w:tplc="2E20EC4E">
      <w:start w:val="146"/>
      <w:numFmt w:val="bullet"/>
      <w:lvlText w:val="–"/>
      <w:lvlJc w:val="left"/>
      <w:pPr>
        <w:tabs>
          <w:tab w:val="num" w:pos="1440"/>
        </w:tabs>
        <w:ind w:left="1440" w:hanging="360"/>
      </w:pPr>
      <w:rPr>
        <w:rFonts w:ascii="Arial" w:hAnsi="Arial" w:hint="default"/>
      </w:rPr>
    </w:lvl>
    <w:lvl w:ilvl="2" w:tplc="149C1BAC" w:tentative="1">
      <w:start w:val="1"/>
      <w:numFmt w:val="lowerLetter"/>
      <w:lvlText w:val="%3)"/>
      <w:lvlJc w:val="left"/>
      <w:pPr>
        <w:tabs>
          <w:tab w:val="num" w:pos="2160"/>
        </w:tabs>
        <w:ind w:left="2160" w:hanging="360"/>
      </w:pPr>
      <w:rPr>
        <w:rFonts w:cs="Times New Roman"/>
      </w:rPr>
    </w:lvl>
    <w:lvl w:ilvl="3" w:tplc="0B703DB8" w:tentative="1">
      <w:start w:val="1"/>
      <w:numFmt w:val="lowerLetter"/>
      <w:lvlText w:val="%4)"/>
      <w:lvlJc w:val="left"/>
      <w:pPr>
        <w:tabs>
          <w:tab w:val="num" w:pos="2880"/>
        </w:tabs>
        <w:ind w:left="2880" w:hanging="360"/>
      </w:pPr>
      <w:rPr>
        <w:rFonts w:cs="Times New Roman"/>
      </w:rPr>
    </w:lvl>
    <w:lvl w:ilvl="4" w:tplc="2AB6F8FE" w:tentative="1">
      <w:start w:val="1"/>
      <w:numFmt w:val="lowerLetter"/>
      <w:lvlText w:val="%5)"/>
      <w:lvlJc w:val="left"/>
      <w:pPr>
        <w:tabs>
          <w:tab w:val="num" w:pos="3600"/>
        </w:tabs>
        <w:ind w:left="3600" w:hanging="360"/>
      </w:pPr>
      <w:rPr>
        <w:rFonts w:cs="Times New Roman"/>
      </w:rPr>
    </w:lvl>
    <w:lvl w:ilvl="5" w:tplc="B182512C" w:tentative="1">
      <w:start w:val="1"/>
      <w:numFmt w:val="lowerLetter"/>
      <w:lvlText w:val="%6)"/>
      <w:lvlJc w:val="left"/>
      <w:pPr>
        <w:tabs>
          <w:tab w:val="num" w:pos="4320"/>
        </w:tabs>
        <w:ind w:left="4320" w:hanging="360"/>
      </w:pPr>
      <w:rPr>
        <w:rFonts w:cs="Times New Roman"/>
      </w:rPr>
    </w:lvl>
    <w:lvl w:ilvl="6" w:tplc="8C4CB580" w:tentative="1">
      <w:start w:val="1"/>
      <w:numFmt w:val="lowerLetter"/>
      <w:lvlText w:val="%7)"/>
      <w:lvlJc w:val="left"/>
      <w:pPr>
        <w:tabs>
          <w:tab w:val="num" w:pos="5040"/>
        </w:tabs>
        <w:ind w:left="5040" w:hanging="360"/>
      </w:pPr>
      <w:rPr>
        <w:rFonts w:cs="Times New Roman"/>
      </w:rPr>
    </w:lvl>
    <w:lvl w:ilvl="7" w:tplc="9EEC63D8" w:tentative="1">
      <w:start w:val="1"/>
      <w:numFmt w:val="lowerLetter"/>
      <w:lvlText w:val="%8)"/>
      <w:lvlJc w:val="left"/>
      <w:pPr>
        <w:tabs>
          <w:tab w:val="num" w:pos="5760"/>
        </w:tabs>
        <w:ind w:left="5760" w:hanging="360"/>
      </w:pPr>
      <w:rPr>
        <w:rFonts w:cs="Times New Roman"/>
      </w:rPr>
    </w:lvl>
    <w:lvl w:ilvl="8" w:tplc="E1A06B8A" w:tentative="1">
      <w:start w:val="1"/>
      <w:numFmt w:val="lowerLetter"/>
      <w:lvlText w:val="%9)"/>
      <w:lvlJc w:val="left"/>
      <w:pPr>
        <w:tabs>
          <w:tab w:val="num" w:pos="6480"/>
        </w:tabs>
        <w:ind w:left="6480" w:hanging="360"/>
      </w:pPr>
      <w:rPr>
        <w:rFonts w:cs="Times New Roman"/>
      </w:rPr>
    </w:lvl>
  </w:abstractNum>
  <w:abstractNum w:abstractNumId="2">
    <w:nsid w:val="169620C0"/>
    <w:multiLevelType w:val="hybridMultilevel"/>
    <w:tmpl w:val="4DAE63C6"/>
    <w:lvl w:ilvl="0" w:tplc="41F498A4">
      <w:start w:val="1"/>
      <w:numFmt w:val="lowerLetter"/>
      <w:lvlText w:val="%1)"/>
      <w:lvlJc w:val="left"/>
      <w:pPr>
        <w:tabs>
          <w:tab w:val="num" w:pos="720"/>
        </w:tabs>
        <w:ind w:left="720" w:hanging="360"/>
      </w:pPr>
      <w:rPr>
        <w:rFonts w:cs="Times New Roman"/>
      </w:rPr>
    </w:lvl>
    <w:lvl w:ilvl="1" w:tplc="65D8A704">
      <w:start w:val="146"/>
      <w:numFmt w:val="bullet"/>
      <w:lvlText w:val="–"/>
      <w:lvlJc w:val="left"/>
      <w:pPr>
        <w:tabs>
          <w:tab w:val="num" w:pos="1440"/>
        </w:tabs>
        <w:ind w:left="1440" w:hanging="360"/>
      </w:pPr>
      <w:rPr>
        <w:rFonts w:ascii="Arial" w:hAnsi="Arial" w:hint="default"/>
      </w:rPr>
    </w:lvl>
    <w:lvl w:ilvl="2" w:tplc="D570DAD0" w:tentative="1">
      <w:start w:val="1"/>
      <w:numFmt w:val="lowerLetter"/>
      <w:lvlText w:val="%3)"/>
      <w:lvlJc w:val="left"/>
      <w:pPr>
        <w:tabs>
          <w:tab w:val="num" w:pos="2160"/>
        </w:tabs>
        <w:ind w:left="2160" w:hanging="360"/>
      </w:pPr>
      <w:rPr>
        <w:rFonts w:cs="Times New Roman"/>
      </w:rPr>
    </w:lvl>
    <w:lvl w:ilvl="3" w:tplc="20F6CB54" w:tentative="1">
      <w:start w:val="1"/>
      <w:numFmt w:val="lowerLetter"/>
      <w:lvlText w:val="%4)"/>
      <w:lvlJc w:val="left"/>
      <w:pPr>
        <w:tabs>
          <w:tab w:val="num" w:pos="2880"/>
        </w:tabs>
        <w:ind w:left="2880" w:hanging="360"/>
      </w:pPr>
      <w:rPr>
        <w:rFonts w:cs="Times New Roman"/>
      </w:rPr>
    </w:lvl>
    <w:lvl w:ilvl="4" w:tplc="D66A48F4" w:tentative="1">
      <w:start w:val="1"/>
      <w:numFmt w:val="lowerLetter"/>
      <w:lvlText w:val="%5)"/>
      <w:lvlJc w:val="left"/>
      <w:pPr>
        <w:tabs>
          <w:tab w:val="num" w:pos="3600"/>
        </w:tabs>
        <w:ind w:left="3600" w:hanging="360"/>
      </w:pPr>
      <w:rPr>
        <w:rFonts w:cs="Times New Roman"/>
      </w:rPr>
    </w:lvl>
    <w:lvl w:ilvl="5" w:tplc="273EB906" w:tentative="1">
      <w:start w:val="1"/>
      <w:numFmt w:val="lowerLetter"/>
      <w:lvlText w:val="%6)"/>
      <w:lvlJc w:val="left"/>
      <w:pPr>
        <w:tabs>
          <w:tab w:val="num" w:pos="4320"/>
        </w:tabs>
        <w:ind w:left="4320" w:hanging="360"/>
      </w:pPr>
      <w:rPr>
        <w:rFonts w:cs="Times New Roman"/>
      </w:rPr>
    </w:lvl>
    <w:lvl w:ilvl="6" w:tplc="97566D8C" w:tentative="1">
      <w:start w:val="1"/>
      <w:numFmt w:val="lowerLetter"/>
      <w:lvlText w:val="%7)"/>
      <w:lvlJc w:val="left"/>
      <w:pPr>
        <w:tabs>
          <w:tab w:val="num" w:pos="5040"/>
        </w:tabs>
        <w:ind w:left="5040" w:hanging="360"/>
      </w:pPr>
      <w:rPr>
        <w:rFonts w:cs="Times New Roman"/>
      </w:rPr>
    </w:lvl>
    <w:lvl w:ilvl="7" w:tplc="FAC4F146" w:tentative="1">
      <w:start w:val="1"/>
      <w:numFmt w:val="lowerLetter"/>
      <w:lvlText w:val="%8)"/>
      <w:lvlJc w:val="left"/>
      <w:pPr>
        <w:tabs>
          <w:tab w:val="num" w:pos="5760"/>
        </w:tabs>
        <w:ind w:left="5760" w:hanging="360"/>
      </w:pPr>
      <w:rPr>
        <w:rFonts w:cs="Times New Roman"/>
      </w:rPr>
    </w:lvl>
    <w:lvl w:ilvl="8" w:tplc="C4326AA0" w:tentative="1">
      <w:start w:val="1"/>
      <w:numFmt w:val="lowerLetter"/>
      <w:lvlText w:val="%9)"/>
      <w:lvlJc w:val="left"/>
      <w:pPr>
        <w:tabs>
          <w:tab w:val="num" w:pos="6480"/>
        </w:tabs>
        <w:ind w:left="6480" w:hanging="360"/>
      </w:pPr>
      <w:rPr>
        <w:rFonts w:cs="Times New Roman"/>
      </w:rPr>
    </w:lvl>
  </w:abstractNum>
  <w:abstractNum w:abstractNumId="3">
    <w:nsid w:val="1A4A51B7"/>
    <w:multiLevelType w:val="hybridMultilevel"/>
    <w:tmpl w:val="B37C0906"/>
    <w:lvl w:ilvl="0" w:tplc="03367CC2">
      <w:start w:val="1"/>
      <w:numFmt w:val="lowerLetter"/>
      <w:lvlText w:val="%1)"/>
      <w:lvlJc w:val="left"/>
      <w:pPr>
        <w:tabs>
          <w:tab w:val="num" w:pos="900"/>
        </w:tabs>
        <w:ind w:left="900" w:hanging="360"/>
      </w:pPr>
      <w:rPr>
        <w:rFonts w:cs="Times New Roman" w:hint="default"/>
      </w:rPr>
    </w:lvl>
    <w:lvl w:ilvl="1" w:tplc="04050019" w:tentative="1">
      <w:start w:val="1"/>
      <w:numFmt w:val="lowerLetter"/>
      <w:lvlText w:val="%2."/>
      <w:lvlJc w:val="left"/>
      <w:pPr>
        <w:tabs>
          <w:tab w:val="num" w:pos="1620"/>
        </w:tabs>
        <w:ind w:left="1620" w:hanging="360"/>
      </w:pPr>
      <w:rPr>
        <w:rFonts w:cs="Times New Roman"/>
      </w:rPr>
    </w:lvl>
    <w:lvl w:ilvl="2" w:tplc="0405001B" w:tentative="1">
      <w:start w:val="1"/>
      <w:numFmt w:val="lowerRoman"/>
      <w:lvlText w:val="%3."/>
      <w:lvlJc w:val="right"/>
      <w:pPr>
        <w:tabs>
          <w:tab w:val="num" w:pos="2340"/>
        </w:tabs>
        <w:ind w:left="2340" w:hanging="180"/>
      </w:pPr>
      <w:rPr>
        <w:rFonts w:cs="Times New Roman"/>
      </w:rPr>
    </w:lvl>
    <w:lvl w:ilvl="3" w:tplc="0405000F" w:tentative="1">
      <w:start w:val="1"/>
      <w:numFmt w:val="decimal"/>
      <w:lvlText w:val="%4."/>
      <w:lvlJc w:val="left"/>
      <w:pPr>
        <w:tabs>
          <w:tab w:val="num" w:pos="3060"/>
        </w:tabs>
        <w:ind w:left="3060" w:hanging="360"/>
      </w:pPr>
      <w:rPr>
        <w:rFonts w:cs="Times New Roman"/>
      </w:rPr>
    </w:lvl>
    <w:lvl w:ilvl="4" w:tplc="04050019" w:tentative="1">
      <w:start w:val="1"/>
      <w:numFmt w:val="lowerLetter"/>
      <w:lvlText w:val="%5."/>
      <w:lvlJc w:val="left"/>
      <w:pPr>
        <w:tabs>
          <w:tab w:val="num" w:pos="3780"/>
        </w:tabs>
        <w:ind w:left="3780" w:hanging="360"/>
      </w:pPr>
      <w:rPr>
        <w:rFonts w:cs="Times New Roman"/>
      </w:rPr>
    </w:lvl>
    <w:lvl w:ilvl="5" w:tplc="0405001B" w:tentative="1">
      <w:start w:val="1"/>
      <w:numFmt w:val="lowerRoman"/>
      <w:lvlText w:val="%6."/>
      <w:lvlJc w:val="right"/>
      <w:pPr>
        <w:tabs>
          <w:tab w:val="num" w:pos="4500"/>
        </w:tabs>
        <w:ind w:left="4500" w:hanging="180"/>
      </w:pPr>
      <w:rPr>
        <w:rFonts w:cs="Times New Roman"/>
      </w:rPr>
    </w:lvl>
    <w:lvl w:ilvl="6" w:tplc="0405000F" w:tentative="1">
      <w:start w:val="1"/>
      <w:numFmt w:val="decimal"/>
      <w:lvlText w:val="%7."/>
      <w:lvlJc w:val="left"/>
      <w:pPr>
        <w:tabs>
          <w:tab w:val="num" w:pos="5220"/>
        </w:tabs>
        <w:ind w:left="5220" w:hanging="360"/>
      </w:pPr>
      <w:rPr>
        <w:rFonts w:cs="Times New Roman"/>
      </w:rPr>
    </w:lvl>
    <w:lvl w:ilvl="7" w:tplc="04050019" w:tentative="1">
      <w:start w:val="1"/>
      <w:numFmt w:val="lowerLetter"/>
      <w:lvlText w:val="%8."/>
      <w:lvlJc w:val="left"/>
      <w:pPr>
        <w:tabs>
          <w:tab w:val="num" w:pos="5940"/>
        </w:tabs>
        <w:ind w:left="5940" w:hanging="360"/>
      </w:pPr>
      <w:rPr>
        <w:rFonts w:cs="Times New Roman"/>
      </w:rPr>
    </w:lvl>
    <w:lvl w:ilvl="8" w:tplc="0405001B" w:tentative="1">
      <w:start w:val="1"/>
      <w:numFmt w:val="lowerRoman"/>
      <w:lvlText w:val="%9."/>
      <w:lvlJc w:val="right"/>
      <w:pPr>
        <w:tabs>
          <w:tab w:val="num" w:pos="6660"/>
        </w:tabs>
        <w:ind w:left="6660" w:hanging="180"/>
      </w:pPr>
      <w:rPr>
        <w:rFonts w:cs="Times New Roman"/>
      </w:rPr>
    </w:lvl>
  </w:abstractNum>
  <w:abstractNum w:abstractNumId="4">
    <w:nsid w:val="28E64679"/>
    <w:multiLevelType w:val="hybridMultilevel"/>
    <w:tmpl w:val="8C30B40E"/>
    <w:lvl w:ilvl="0" w:tplc="322AE2BC">
      <w:start w:val="3"/>
      <w:numFmt w:val="lowerLetter"/>
      <w:lvlText w:val="%1)"/>
      <w:lvlJc w:val="left"/>
      <w:pPr>
        <w:tabs>
          <w:tab w:val="num" w:pos="720"/>
        </w:tabs>
        <w:ind w:left="720" w:hanging="360"/>
      </w:pPr>
      <w:rPr>
        <w:rFonts w:cs="Times New Roman"/>
      </w:rPr>
    </w:lvl>
    <w:lvl w:ilvl="1" w:tplc="D3DE84BC">
      <w:start w:val="146"/>
      <w:numFmt w:val="bullet"/>
      <w:lvlText w:val="–"/>
      <w:lvlJc w:val="left"/>
      <w:pPr>
        <w:tabs>
          <w:tab w:val="num" w:pos="1440"/>
        </w:tabs>
        <w:ind w:left="1440" w:hanging="360"/>
      </w:pPr>
      <w:rPr>
        <w:rFonts w:ascii="Arial" w:hAnsi="Arial" w:hint="default"/>
      </w:rPr>
    </w:lvl>
    <w:lvl w:ilvl="2" w:tplc="B7AE15EC" w:tentative="1">
      <w:start w:val="1"/>
      <w:numFmt w:val="lowerLetter"/>
      <w:lvlText w:val="%3)"/>
      <w:lvlJc w:val="left"/>
      <w:pPr>
        <w:tabs>
          <w:tab w:val="num" w:pos="2160"/>
        </w:tabs>
        <w:ind w:left="2160" w:hanging="360"/>
      </w:pPr>
      <w:rPr>
        <w:rFonts w:cs="Times New Roman"/>
      </w:rPr>
    </w:lvl>
    <w:lvl w:ilvl="3" w:tplc="4C7CBA48" w:tentative="1">
      <w:start w:val="1"/>
      <w:numFmt w:val="lowerLetter"/>
      <w:lvlText w:val="%4)"/>
      <w:lvlJc w:val="left"/>
      <w:pPr>
        <w:tabs>
          <w:tab w:val="num" w:pos="2880"/>
        </w:tabs>
        <w:ind w:left="2880" w:hanging="360"/>
      </w:pPr>
      <w:rPr>
        <w:rFonts w:cs="Times New Roman"/>
      </w:rPr>
    </w:lvl>
    <w:lvl w:ilvl="4" w:tplc="07A0C73A" w:tentative="1">
      <w:start w:val="1"/>
      <w:numFmt w:val="lowerLetter"/>
      <w:lvlText w:val="%5)"/>
      <w:lvlJc w:val="left"/>
      <w:pPr>
        <w:tabs>
          <w:tab w:val="num" w:pos="3600"/>
        </w:tabs>
        <w:ind w:left="3600" w:hanging="360"/>
      </w:pPr>
      <w:rPr>
        <w:rFonts w:cs="Times New Roman"/>
      </w:rPr>
    </w:lvl>
    <w:lvl w:ilvl="5" w:tplc="72A0FCBA" w:tentative="1">
      <w:start w:val="1"/>
      <w:numFmt w:val="lowerLetter"/>
      <w:lvlText w:val="%6)"/>
      <w:lvlJc w:val="left"/>
      <w:pPr>
        <w:tabs>
          <w:tab w:val="num" w:pos="4320"/>
        </w:tabs>
        <w:ind w:left="4320" w:hanging="360"/>
      </w:pPr>
      <w:rPr>
        <w:rFonts w:cs="Times New Roman"/>
      </w:rPr>
    </w:lvl>
    <w:lvl w:ilvl="6" w:tplc="2C926A8A" w:tentative="1">
      <w:start w:val="1"/>
      <w:numFmt w:val="lowerLetter"/>
      <w:lvlText w:val="%7)"/>
      <w:lvlJc w:val="left"/>
      <w:pPr>
        <w:tabs>
          <w:tab w:val="num" w:pos="5040"/>
        </w:tabs>
        <w:ind w:left="5040" w:hanging="360"/>
      </w:pPr>
      <w:rPr>
        <w:rFonts w:cs="Times New Roman"/>
      </w:rPr>
    </w:lvl>
    <w:lvl w:ilvl="7" w:tplc="A3BA9AEA" w:tentative="1">
      <w:start w:val="1"/>
      <w:numFmt w:val="lowerLetter"/>
      <w:lvlText w:val="%8)"/>
      <w:lvlJc w:val="left"/>
      <w:pPr>
        <w:tabs>
          <w:tab w:val="num" w:pos="5760"/>
        </w:tabs>
        <w:ind w:left="5760" w:hanging="360"/>
      </w:pPr>
      <w:rPr>
        <w:rFonts w:cs="Times New Roman"/>
      </w:rPr>
    </w:lvl>
    <w:lvl w:ilvl="8" w:tplc="6C66FD94" w:tentative="1">
      <w:start w:val="1"/>
      <w:numFmt w:val="lowerLetter"/>
      <w:lvlText w:val="%9)"/>
      <w:lvlJc w:val="left"/>
      <w:pPr>
        <w:tabs>
          <w:tab w:val="num" w:pos="6480"/>
        </w:tabs>
        <w:ind w:left="6480" w:hanging="360"/>
      </w:pPr>
      <w:rPr>
        <w:rFonts w:cs="Times New Roman"/>
      </w:rPr>
    </w:lvl>
  </w:abstractNum>
  <w:abstractNum w:abstractNumId="5">
    <w:nsid w:val="394D72A4"/>
    <w:multiLevelType w:val="hybridMultilevel"/>
    <w:tmpl w:val="8FDEC248"/>
    <w:lvl w:ilvl="0" w:tplc="BFEEA576">
      <w:start w:val="1"/>
      <w:numFmt w:val="bullet"/>
      <w:lvlText w:val="•"/>
      <w:lvlJc w:val="left"/>
      <w:pPr>
        <w:tabs>
          <w:tab w:val="num" w:pos="720"/>
        </w:tabs>
        <w:ind w:left="720" w:hanging="360"/>
      </w:pPr>
      <w:rPr>
        <w:rFonts w:ascii="Calibri" w:hAnsi="Calibri" w:hint="default"/>
      </w:rPr>
    </w:lvl>
    <w:lvl w:ilvl="1" w:tplc="2B12AE14" w:tentative="1">
      <w:start w:val="1"/>
      <w:numFmt w:val="bullet"/>
      <w:lvlText w:val="•"/>
      <w:lvlJc w:val="left"/>
      <w:pPr>
        <w:tabs>
          <w:tab w:val="num" w:pos="1440"/>
        </w:tabs>
        <w:ind w:left="1440" w:hanging="360"/>
      </w:pPr>
      <w:rPr>
        <w:rFonts w:ascii="Calibri" w:hAnsi="Calibri" w:hint="default"/>
      </w:rPr>
    </w:lvl>
    <w:lvl w:ilvl="2" w:tplc="D3668FAE" w:tentative="1">
      <w:start w:val="1"/>
      <w:numFmt w:val="bullet"/>
      <w:lvlText w:val="•"/>
      <w:lvlJc w:val="left"/>
      <w:pPr>
        <w:tabs>
          <w:tab w:val="num" w:pos="2160"/>
        </w:tabs>
        <w:ind w:left="2160" w:hanging="360"/>
      </w:pPr>
      <w:rPr>
        <w:rFonts w:ascii="Calibri" w:hAnsi="Calibri" w:hint="default"/>
      </w:rPr>
    </w:lvl>
    <w:lvl w:ilvl="3" w:tplc="B02E4366" w:tentative="1">
      <w:start w:val="1"/>
      <w:numFmt w:val="bullet"/>
      <w:lvlText w:val="•"/>
      <w:lvlJc w:val="left"/>
      <w:pPr>
        <w:tabs>
          <w:tab w:val="num" w:pos="2880"/>
        </w:tabs>
        <w:ind w:left="2880" w:hanging="360"/>
      </w:pPr>
      <w:rPr>
        <w:rFonts w:ascii="Calibri" w:hAnsi="Calibri" w:hint="default"/>
      </w:rPr>
    </w:lvl>
    <w:lvl w:ilvl="4" w:tplc="FAD8F896" w:tentative="1">
      <w:start w:val="1"/>
      <w:numFmt w:val="bullet"/>
      <w:lvlText w:val="•"/>
      <w:lvlJc w:val="left"/>
      <w:pPr>
        <w:tabs>
          <w:tab w:val="num" w:pos="3600"/>
        </w:tabs>
        <w:ind w:left="3600" w:hanging="360"/>
      </w:pPr>
      <w:rPr>
        <w:rFonts w:ascii="Calibri" w:hAnsi="Calibri" w:hint="default"/>
      </w:rPr>
    </w:lvl>
    <w:lvl w:ilvl="5" w:tplc="230C0454" w:tentative="1">
      <w:start w:val="1"/>
      <w:numFmt w:val="bullet"/>
      <w:lvlText w:val="•"/>
      <w:lvlJc w:val="left"/>
      <w:pPr>
        <w:tabs>
          <w:tab w:val="num" w:pos="4320"/>
        </w:tabs>
        <w:ind w:left="4320" w:hanging="360"/>
      </w:pPr>
      <w:rPr>
        <w:rFonts w:ascii="Calibri" w:hAnsi="Calibri" w:hint="default"/>
      </w:rPr>
    </w:lvl>
    <w:lvl w:ilvl="6" w:tplc="48B0E1F2" w:tentative="1">
      <w:start w:val="1"/>
      <w:numFmt w:val="bullet"/>
      <w:lvlText w:val="•"/>
      <w:lvlJc w:val="left"/>
      <w:pPr>
        <w:tabs>
          <w:tab w:val="num" w:pos="5040"/>
        </w:tabs>
        <w:ind w:left="5040" w:hanging="360"/>
      </w:pPr>
      <w:rPr>
        <w:rFonts w:ascii="Calibri" w:hAnsi="Calibri" w:hint="default"/>
      </w:rPr>
    </w:lvl>
    <w:lvl w:ilvl="7" w:tplc="BB7E5748" w:tentative="1">
      <w:start w:val="1"/>
      <w:numFmt w:val="bullet"/>
      <w:lvlText w:val="•"/>
      <w:lvlJc w:val="left"/>
      <w:pPr>
        <w:tabs>
          <w:tab w:val="num" w:pos="5760"/>
        </w:tabs>
        <w:ind w:left="5760" w:hanging="360"/>
      </w:pPr>
      <w:rPr>
        <w:rFonts w:ascii="Calibri" w:hAnsi="Calibri" w:hint="default"/>
      </w:rPr>
    </w:lvl>
    <w:lvl w:ilvl="8" w:tplc="B63EDCEA" w:tentative="1">
      <w:start w:val="1"/>
      <w:numFmt w:val="bullet"/>
      <w:lvlText w:val="•"/>
      <w:lvlJc w:val="left"/>
      <w:pPr>
        <w:tabs>
          <w:tab w:val="num" w:pos="6480"/>
        </w:tabs>
        <w:ind w:left="6480" w:hanging="360"/>
      </w:pPr>
      <w:rPr>
        <w:rFonts w:ascii="Calibri" w:hAnsi="Calibri" w:hint="default"/>
      </w:rPr>
    </w:lvl>
  </w:abstractNum>
  <w:abstractNum w:abstractNumId="6">
    <w:nsid w:val="4BD43F24"/>
    <w:multiLevelType w:val="hybridMultilevel"/>
    <w:tmpl w:val="0540C868"/>
    <w:lvl w:ilvl="0" w:tplc="C79E771A">
      <w:start w:val="1"/>
      <w:numFmt w:val="bullet"/>
      <w:lvlText w:val="•"/>
      <w:lvlJc w:val="left"/>
      <w:pPr>
        <w:tabs>
          <w:tab w:val="num" w:pos="720"/>
        </w:tabs>
        <w:ind w:left="720" w:hanging="360"/>
      </w:pPr>
      <w:rPr>
        <w:rFonts w:ascii="Calibri" w:hAnsi="Calibri" w:hint="default"/>
      </w:rPr>
    </w:lvl>
    <w:lvl w:ilvl="1" w:tplc="8E4A476E" w:tentative="1">
      <w:start w:val="1"/>
      <w:numFmt w:val="bullet"/>
      <w:lvlText w:val="•"/>
      <w:lvlJc w:val="left"/>
      <w:pPr>
        <w:tabs>
          <w:tab w:val="num" w:pos="1440"/>
        </w:tabs>
        <w:ind w:left="1440" w:hanging="360"/>
      </w:pPr>
      <w:rPr>
        <w:rFonts w:ascii="Calibri" w:hAnsi="Calibri" w:hint="default"/>
      </w:rPr>
    </w:lvl>
    <w:lvl w:ilvl="2" w:tplc="D37E0596" w:tentative="1">
      <w:start w:val="1"/>
      <w:numFmt w:val="bullet"/>
      <w:lvlText w:val="•"/>
      <w:lvlJc w:val="left"/>
      <w:pPr>
        <w:tabs>
          <w:tab w:val="num" w:pos="2160"/>
        </w:tabs>
        <w:ind w:left="2160" w:hanging="360"/>
      </w:pPr>
      <w:rPr>
        <w:rFonts w:ascii="Calibri" w:hAnsi="Calibri" w:hint="default"/>
      </w:rPr>
    </w:lvl>
    <w:lvl w:ilvl="3" w:tplc="C1B84A92" w:tentative="1">
      <w:start w:val="1"/>
      <w:numFmt w:val="bullet"/>
      <w:lvlText w:val="•"/>
      <w:lvlJc w:val="left"/>
      <w:pPr>
        <w:tabs>
          <w:tab w:val="num" w:pos="2880"/>
        </w:tabs>
        <w:ind w:left="2880" w:hanging="360"/>
      </w:pPr>
      <w:rPr>
        <w:rFonts w:ascii="Calibri" w:hAnsi="Calibri" w:hint="default"/>
      </w:rPr>
    </w:lvl>
    <w:lvl w:ilvl="4" w:tplc="29726404" w:tentative="1">
      <w:start w:val="1"/>
      <w:numFmt w:val="bullet"/>
      <w:lvlText w:val="•"/>
      <w:lvlJc w:val="left"/>
      <w:pPr>
        <w:tabs>
          <w:tab w:val="num" w:pos="3600"/>
        </w:tabs>
        <w:ind w:left="3600" w:hanging="360"/>
      </w:pPr>
      <w:rPr>
        <w:rFonts w:ascii="Calibri" w:hAnsi="Calibri" w:hint="default"/>
      </w:rPr>
    </w:lvl>
    <w:lvl w:ilvl="5" w:tplc="8376EAC2" w:tentative="1">
      <w:start w:val="1"/>
      <w:numFmt w:val="bullet"/>
      <w:lvlText w:val="•"/>
      <w:lvlJc w:val="left"/>
      <w:pPr>
        <w:tabs>
          <w:tab w:val="num" w:pos="4320"/>
        </w:tabs>
        <w:ind w:left="4320" w:hanging="360"/>
      </w:pPr>
      <w:rPr>
        <w:rFonts w:ascii="Calibri" w:hAnsi="Calibri" w:hint="default"/>
      </w:rPr>
    </w:lvl>
    <w:lvl w:ilvl="6" w:tplc="A4E09464" w:tentative="1">
      <w:start w:val="1"/>
      <w:numFmt w:val="bullet"/>
      <w:lvlText w:val="•"/>
      <w:lvlJc w:val="left"/>
      <w:pPr>
        <w:tabs>
          <w:tab w:val="num" w:pos="5040"/>
        </w:tabs>
        <w:ind w:left="5040" w:hanging="360"/>
      </w:pPr>
      <w:rPr>
        <w:rFonts w:ascii="Calibri" w:hAnsi="Calibri" w:hint="default"/>
      </w:rPr>
    </w:lvl>
    <w:lvl w:ilvl="7" w:tplc="6226E6B0" w:tentative="1">
      <w:start w:val="1"/>
      <w:numFmt w:val="bullet"/>
      <w:lvlText w:val="•"/>
      <w:lvlJc w:val="left"/>
      <w:pPr>
        <w:tabs>
          <w:tab w:val="num" w:pos="5760"/>
        </w:tabs>
        <w:ind w:left="5760" w:hanging="360"/>
      </w:pPr>
      <w:rPr>
        <w:rFonts w:ascii="Calibri" w:hAnsi="Calibri" w:hint="default"/>
      </w:rPr>
    </w:lvl>
    <w:lvl w:ilvl="8" w:tplc="6CB4D604" w:tentative="1">
      <w:start w:val="1"/>
      <w:numFmt w:val="bullet"/>
      <w:lvlText w:val="•"/>
      <w:lvlJc w:val="left"/>
      <w:pPr>
        <w:tabs>
          <w:tab w:val="num" w:pos="6480"/>
        </w:tabs>
        <w:ind w:left="6480" w:hanging="360"/>
      </w:pPr>
      <w:rPr>
        <w:rFonts w:ascii="Calibri" w:hAnsi="Calibri" w:hint="default"/>
      </w:rPr>
    </w:lvl>
  </w:abstractNum>
  <w:abstractNum w:abstractNumId="7">
    <w:nsid w:val="5C690062"/>
    <w:multiLevelType w:val="hybridMultilevel"/>
    <w:tmpl w:val="DE9207DE"/>
    <w:lvl w:ilvl="0" w:tplc="130067FA">
      <w:start w:val="1"/>
      <w:numFmt w:val="bullet"/>
      <w:lvlText w:val="×"/>
      <w:lvlJc w:val="left"/>
      <w:pPr>
        <w:tabs>
          <w:tab w:val="num" w:pos="720"/>
        </w:tabs>
        <w:ind w:left="720" w:hanging="360"/>
      </w:pPr>
      <w:rPr>
        <w:rFonts w:ascii="Calibri" w:hAnsi="Calibri" w:hint="default"/>
      </w:rPr>
    </w:lvl>
    <w:lvl w:ilvl="1" w:tplc="5C3AA0D0" w:tentative="1">
      <w:start w:val="1"/>
      <w:numFmt w:val="bullet"/>
      <w:lvlText w:val="×"/>
      <w:lvlJc w:val="left"/>
      <w:pPr>
        <w:tabs>
          <w:tab w:val="num" w:pos="1440"/>
        </w:tabs>
        <w:ind w:left="1440" w:hanging="360"/>
      </w:pPr>
      <w:rPr>
        <w:rFonts w:ascii="Calibri" w:hAnsi="Calibri" w:hint="default"/>
      </w:rPr>
    </w:lvl>
    <w:lvl w:ilvl="2" w:tplc="F3E6791C" w:tentative="1">
      <w:start w:val="1"/>
      <w:numFmt w:val="bullet"/>
      <w:lvlText w:val="×"/>
      <w:lvlJc w:val="left"/>
      <w:pPr>
        <w:tabs>
          <w:tab w:val="num" w:pos="2160"/>
        </w:tabs>
        <w:ind w:left="2160" w:hanging="360"/>
      </w:pPr>
      <w:rPr>
        <w:rFonts w:ascii="Calibri" w:hAnsi="Calibri" w:hint="default"/>
      </w:rPr>
    </w:lvl>
    <w:lvl w:ilvl="3" w:tplc="A0C2B114" w:tentative="1">
      <w:start w:val="1"/>
      <w:numFmt w:val="bullet"/>
      <w:lvlText w:val="×"/>
      <w:lvlJc w:val="left"/>
      <w:pPr>
        <w:tabs>
          <w:tab w:val="num" w:pos="2880"/>
        </w:tabs>
        <w:ind w:left="2880" w:hanging="360"/>
      </w:pPr>
      <w:rPr>
        <w:rFonts w:ascii="Calibri" w:hAnsi="Calibri" w:hint="default"/>
      </w:rPr>
    </w:lvl>
    <w:lvl w:ilvl="4" w:tplc="E8BAB9A0" w:tentative="1">
      <w:start w:val="1"/>
      <w:numFmt w:val="bullet"/>
      <w:lvlText w:val="×"/>
      <w:lvlJc w:val="left"/>
      <w:pPr>
        <w:tabs>
          <w:tab w:val="num" w:pos="3600"/>
        </w:tabs>
        <w:ind w:left="3600" w:hanging="360"/>
      </w:pPr>
      <w:rPr>
        <w:rFonts w:ascii="Calibri" w:hAnsi="Calibri" w:hint="default"/>
      </w:rPr>
    </w:lvl>
    <w:lvl w:ilvl="5" w:tplc="A2E0F8A0" w:tentative="1">
      <w:start w:val="1"/>
      <w:numFmt w:val="bullet"/>
      <w:lvlText w:val="×"/>
      <w:lvlJc w:val="left"/>
      <w:pPr>
        <w:tabs>
          <w:tab w:val="num" w:pos="4320"/>
        </w:tabs>
        <w:ind w:left="4320" w:hanging="360"/>
      </w:pPr>
      <w:rPr>
        <w:rFonts w:ascii="Calibri" w:hAnsi="Calibri" w:hint="default"/>
      </w:rPr>
    </w:lvl>
    <w:lvl w:ilvl="6" w:tplc="D4184E9C" w:tentative="1">
      <w:start w:val="1"/>
      <w:numFmt w:val="bullet"/>
      <w:lvlText w:val="×"/>
      <w:lvlJc w:val="left"/>
      <w:pPr>
        <w:tabs>
          <w:tab w:val="num" w:pos="5040"/>
        </w:tabs>
        <w:ind w:left="5040" w:hanging="360"/>
      </w:pPr>
      <w:rPr>
        <w:rFonts w:ascii="Calibri" w:hAnsi="Calibri" w:hint="default"/>
      </w:rPr>
    </w:lvl>
    <w:lvl w:ilvl="7" w:tplc="3FF4D772" w:tentative="1">
      <w:start w:val="1"/>
      <w:numFmt w:val="bullet"/>
      <w:lvlText w:val="×"/>
      <w:lvlJc w:val="left"/>
      <w:pPr>
        <w:tabs>
          <w:tab w:val="num" w:pos="5760"/>
        </w:tabs>
        <w:ind w:left="5760" w:hanging="360"/>
      </w:pPr>
      <w:rPr>
        <w:rFonts w:ascii="Calibri" w:hAnsi="Calibri" w:hint="default"/>
      </w:rPr>
    </w:lvl>
    <w:lvl w:ilvl="8" w:tplc="EFA40C58" w:tentative="1">
      <w:start w:val="1"/>
      <w:numFmt w:val="bullet"/>
      <w:lvlText w:val="×"/>
      <w:lvlJc w:val="left"/>
      <w:pPr>
        <w:tabs>
          <w:tab w:val="num" w:pos="6480"/>
        </w:tabs>
        <w:ind w:left="6480" w:hanging="360"/>
      </w:pPr>
      <w:rPr>
        <w:rFonts w:ascii="Calibri" w:hAnsi="Calibri" w:hint="default"/>
      </w:rPr>
    </w:lvl>
  </w:abstractNum>
  <w:abstractNum w:abstractNumId="8">
    <w:nsid w:val="610A0B3D"/>
    <w:multiLevelType w:val="hybridMultilevel"/>
    <w:tmpl w:val="8AEE3A34"/>
    <w:lvl w:ilvl="0" w:tplc="04050001">
      <w:start w:val="1"/>
      <w:numFmt w:val="bullet"/>
      <w:lvlText w:val=""/>
      <w:lvlJc w:val="left"/>
      <w:pPr>
        <w:tabs>
          <w:tab w:val="num" w:pos="1260"/>
        </w:tabs>
        <w:ind w:left="1260" w:hanging="360"/>
      </w:pPr>
      <w:rPr>
        <w:rFonts w:ascii="Symbol" w:hAnsi="Symbol" w:hint="default"/>
      </w:rPr>
    </w:lvl>
    <w:lvl w:ilvl="1" w:tplc="04050003">
      <w:start w:val="1"/>
      <w:numFmt w:val="bullet"/>
      <w:lvlText w:val="o"/>
      <w:lvlJc w:val="left"/>
      <w:pPr>
        <w:tabs>
          <w:tab w:val="num" w:pos="1980"/>
        </w:tabs>
        <w:ind w:left="1980" w:hanging="360"/>
      </w:pPr>
      <w:rPr>
        <w:rFonts w:ascii="Courier New" w:hAnsi="Courier New" w:hint="default"/>
      </w:rPr>
    </w:lvl>
    <w:lvl w:ilvl="2" w:tplc="04050005" w:tentative="1">
      <w:start w:val="1"/>
      <w:numFmt w:val="bullet"/>
      <w:lvlText w:val=""/>
      <w:lvlJc w:val="left"/>
      <w:pPr>
        <w:tabs>
          <w:tab w:val="num" w:pos="2700"/>
        </w:tabs>
        <w:ind w:left="2700" w:hanging="360"/>
      </w:pPr>
      <w:rPr>
        <w:rFonts w:ascii="Wingdings" w:hAnsi="Wingdings" w:hint="default"/>
      </w:rPr>
    </w:lvl>
    <w:lvl w:ilvl="3" w:tplc="04050001" w:tentative="1">
      <w:start w:val="1"/>
      <w:numFmt w:val="bullet"/>
      <w:lvlText w:val=""/>
      <w:lvlJc w:val="left"/>
      <w:pPr>
        <w:tabs>
          <w:tab w:val="num" w:pos="3420"/>
        </w:tabs>
        <w:ind w:left="3420" w:hanging="360"/>
      </w:pPr>
      <w:rPr>
        <w:rFonts w:ascii="Symbol" w:hAnsi="Symbol" w:hint="default"/>
      </w:rPr>
    </w:lvl>
    <w:lvl w:ilvl="4" w:tplc="04050003" w:tentative="1">
      <w:start w:val="1"/>
      <w:numFmt w:val="bullet"/>
      <w:lvlText w:val="o"/>
      <w:lvlJc w:val="left"/>
      <w:pPr>
        <w:tabs>
          <w:tab w:val="num" w:pos="4140"/>
        </w:tabs>
        <w:ind w:left="4140" w:hanging="360"/>
      </w:pPr>
      <w:rPr>
        <w:rFonts w:ascii="Courier New" w:hAnsi="Courier New" w:hint="default"/>
      </w:rPr>
    </w:lvl>
    <w:lvl w:ilvl="5" w:tplc="04050005" w:tentative="1">
      <w:start w:val="1"/>
      <w:numFmt w:val="bullet"/>
      <w:lvlText w:val=""/>
      <w:lvlJc w:val="left"/>
      <w:pPr>
        <w:tabs>
          <w:tab w:val="num" w:pos="4860"/>
        </w:tabs>
        <w:ind w:left="4860" w:hanging="360"/>
      </w:pPr>
      <w:rPr>
        <w:rFonts w:ascii="Wingdings" w:hAnsi="Wingdings" w:hint="default"/>
      </w:rPr>
    </w:lvl>
    <w:lvl w:ilvl="6" w:tplc="04050001" w:tentative="1">
      <w:start w:val="1"/>
      <w:numFmt w:val="bullet"/>
      <w:lvlText w:val=""/>
      <w:lvlJc w:val="left"/>
      <w:pPr>
        <w:tabs>
          <w:tab w:val="num" w:pos="5580"/>
        </w:tabs>
        <w:ind w:left="5580" w:hanging="360"/>
      </w:pPr>
      <w:rPr>
        <w:rFonts w:ascii="Symbol" w:hAnsi="Symbol" w:hint="default"/>
      </w:rPr>
    </w:lvl>
    <w:lvl w:ilvl="7" w:tplc="04050003" w:tentative="1">
      <w:start w:val="1"/>
      <w:numFmt w:val="bullet"/>
      <w:lvlText w:val="o"/>
      <w:lvlJc w:val="left"/>
      <w:pPr>
        <w:tabs>
          <w:tab w:val="num" w:pos="6300"/>
        </w:tabs>
        <w:ind w:left="6300" w:hanging="360"/>
      </w:pPr>
      <w:rPr>
        <w:rFonts w:ascii="Courier New" w:hAnsi="Courier New" w:hint="default"/>
      </w:rPr>
    </w:lvl>
    <w:lvl w:ilvl="8" w:tplc="04050005" w:tentative="1">
      <w:start w:val="1"/>
      <w:numFmt w:val="bullet"/>
      <w:lvlText w:val=""/>
      <w:lvlJc w:val="left"/>
      <w:pPr>
        <w:tabs>
          <w:tab w:val="num" w:pos="7020"/>
        </w:tabs>
        <w:ind w:left="7020" w:hanging="360"/>
      </w:pPr>
      <w:rPr>
        <w:rFonts w:ascii="Wingdings" w:hAnsi="Wingdings" w:hint="default"/>
      </w:rPr>
    </w:lvl>
  </w:abstractNum>
  <w:num w:numId="1">
    <w:abstractNumId w:val="8"/>
  </w:num>
  <w:num w:numId="2">
    <w:abstractNumId w:val="3"/>
  </w:num>
  <w:num w:numId="3">
    <w:abstractNumId w:val="1"/>
  </w:num>
  <w:num w:numId="4">
    <w:abstractNumId w:val="2"/>
  </w:num>
  <w:num w:numId="5">
    <w:abstractNumId w:val="4"/>
  </w:num>
  <w:num w:numId="6">
    <w:abstractNumId w:val="6"/>
  </w:num>
  <w:num w:numId="7">
    <w:abstractNumId w:val="0"/>
  </w:num>
  <w:num w:numId="8">
    <w:abstractNumId w:val="7"/>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trackRevisions/>
  <w:defaultTabStop w:val="708"/>
  <w:hyphenationZone w:val="425"/>
  <w:characterSpacingControl w:val="doNotCompress"/>
  <w:hdrShapeDefaults>
    <o:shapedefaults v:ext="edit" spidmax="6146"/>
  </w:hdrShapeDefaults>
  <w:footnotePr>
    <w:footnote w:id="-1"/>
    <w:footnote w:id="0"/>
  </w:footnotePr>
  <w:endnotePr>
    <w:endnote w:id="-1"/>
    <w:endnote w:id="0"/>
  </w:endnotePr>
  <w:compat/>
  <w:rsids>
    <w:rsidRoot w:val="00966B78"/>
    <w:rsid w:val="00002F20"/>
    <w:rsid w:val="00003A9E"/>
    <w:rsid w:val="00031493"/>
    <w:rsid w:val="0004067C"/>
    <w:rsid w:val="00043F3E"/>
    <w:rsid w:val="00046C14"/>
    <w:rsid w:val="0005111C"/>
    <w:rsid w:val="00063A7E"/>
    <w:rsid w:val="00076DD9"/>
    <w:rsid w:val="00092783"/>
    <w:rsid w:val="0009743F"/>
    <w:rsid w:val="000B5E1B"/>
    <w:rsid w:val="000C5F2F"/>
    <w:rsid w:val="000C7ABC"/>
    <w:rsid w:val="000D6EF4"/>
    <w:rsid w:val="000E254A"/>
    <w:rsid w:val="000E7F46"/>
    <w:rsid w:val="00111049"/>
    <w:rsid w:val="001205E4"/>
    <w:rsid w:val="00126034"/>
    <w:rsid w:val="00126275"/>
    <w:rsid w:val="00126650"/>
    <w:rsid w:val="00140E86"/>
    <w:rsid w:val="001436F0"/>
    <w:rsid w:val="00155C65"/>
    <w:rsid w:val="00157549"/>
    <w:rsid w:val="00157688"/>
    <w:rsid w:val="001624D8"/>
    <w:rsid w:val="00180E42"/>
    <w:rsid w:val="001819FA"/>
    <w:rsid w:val="0018378C"/>
    <w:rsid w:val="00191123"/>
    <w:rsid w:val="00191E5A"/>
    <w:rsid w:val="001B116C"/>
    <w:rsid w:val="001C1B55"/>
    <w:rsid w:val="001D0ED5"/>
    <w:rsid w:val="001D3601"/>
    <w:rsid w:val="001E482D"/>
    <w:rsid w:val="001F16E4"/>
    <w:rsid w:val="002029BA"/>
    <w:rsid w:val="00207EF4"/>
    <w:rsid w:val="00231D0E"/>
    <w:rsid w:val="002321E5"/>
    <w:rsid w:val="00233E0A"/>
    <w:rsid w:val="00234BE7"/>
    <w:rsid w:val="00247C45"/>
    <w:rsid w:val="00257956"/>
    <w:rsid w:val="0026435E"/>
    <w:rsid w:val="00292208"/>
    <w:rsid w:val="00293E46"/>
    <w:rsid w:val="002A1EB2"/>
    <w:rsid w:val="002B3BA5"/>
    <w:rsid w:val="002B4198"/>
    <w:rsid w:val="002C5CE2"/>
    <w:rsid w:val="002C6D12"/>
    <w:rsid w:val="002D2C81"/>
    <w:rsid w:val="002E356D"/>
    <w:rsid w:val="002F307D"/>
    <w:rsid w:val="002F3FFD"/>
    <w:rsid w:val="002F61EF"/>
    <w:rsid w:val="002F66C2"/>
    <w:rsid w:val="002F75AA"/>
    <w:rsid w:val="002F7D8A"/>
    <w:rsid w:val="00302550"/>
    <w:rsid w:val="003210D4"/>
    <w:rsid w:val="00330EF7"/>
    <w:rsid w:val="00341A13"/>
    <w:rsid w:val="00341DBB"/>
    <w:rsid w:val="003474D6"/>
    <w:rsid w:val="00350A3F"/>
    <w:rsid w:val="00352292"/>
    <w:rsid w:val="00354287"/>
    <w:rsid w:val="00380F09"/>
    <w:rsid w:val="00393BB3"/>
    <w:rsid w:val="003A1E8B"/>
    <w:rsid w:val="003A38EC"/>
    <w:rsid w:val="003C1050"/>
    <w:rsid w:val="003D54CC"/>
    <w:rsid w:val="003E0D2F"/>
    <w:rsid w:val="003E2304"/>
    <w:rsid w:val="003F3E5B"/>
    <w:rsid w:val="003F5E1F"/>
    <w:rsid w:val="004132F2"/>
    <w:rsid w:val="00413D6E"/>
    <w:rsid w:val="0042340D"/>
    <w:rsid w:val="00430DF3"/>
    <w:rsid w:val="004B06BE"/>
    <w:rsid w:val="004B3EBC"/>
    <w:rsid w:val="004B656D"/>
    <w:rsid w:val="004B68A2"/>
    <w:rsid w:val="004C5EF8"/>
    <w:rsid w:val="004D5DD4"/>
    <w:rsid w:val="004D600F"/>
    <w:rsid w:val="004E07D9"/>
    <w:rsid w:val="004E3543"/>
    <w:rsid w:val="004F6A8D"/>
    <w:rsid w:val="00511A3E"/>
    <w:rsid w:val="005125C4"/>
    <w:rsid w:val="00516556"/>
    <w:rsid w:val="00517E9A"/>
    <w:rsid w:val="005202D9"/>
    <w:rsid w:val="00533A1B"/>
    <w:rsid w:val="005649FC"/>
    <w:rsid w:val="00586487"/>
    <w:rsid w:val="00591CF4"/>
    <w:rsid w:val="005934B2"/>
    <w:rsid w:val="005A3231"/>
    <w:rsid w:val="005A5F59"/>
    <w:rsid w:val="005C2D0D"/>
    <w:rsid w:val="005E7A11"/>
    <w:rsid w:val="005F7BCC"/>
    <w:rsid w:val="00602830"/>
    <w:rsid w:val="00603A85"/>
    <w:rsid w:val="00611860"/>
    <w:rsid w:val="00611A87"/>
    <w:rsid w:val="0061791F"/>
    <w:rsid w:val="00630381"/>
    <w:rsid w:val="00640B9A"/>
    <w:rsid w:val="006535C2"/>
    <w:rsid w:val="00663B84"/>
    <w:rsid w:val="006665E4"/>
    <w:rsid w:val="0068662C"/>
    <w:rsid w:val="00692853"/>
    <w:rsid w:val="00695E2B"/>
    <w:rsid w:val="00697993"/>
    <w:rsid w:val="006B71CB"/>
    <w:rsid w:val="006C7949"/>
    <w:rsid w:val="006D01EF"/>
    <w:rsid w:val="006D0F2E"/>
    <w:rsid w:val="006E07A6"/>
    <w:rsid w:val="006E4359"/>
    <w:rsid w:val="006F365F"/>
    <w:rsid w:val="006F6245"/>
    <w:rsid w:val="00717DFB"/>
    <w:rsid w:val="0072783C"/>
    <w:rsid w:val="00764B84"/>
    <w:rsid w:val="00766555"/>
    <w:rsid w:val="00771FFB"/>
    <w:rsid w:val="0079237C"/>
    <w:rsid w:val="007D284E"/>
    <w:rsid w:val="007F09D1"/>
    <w:rsid w:val="00803576"/>
    <w:rsid w:val="008045BB"/>
    <w:rsid w:val="008121CF"/>
    <w:rsid w:val="0082108B"/>
    <w:rsid w:val="00830B1A"/>
    <w:rsid w:val="00830C47"/>
    <w:rsid w:val="00831921"/>
    <w:rsid w:val="00853F5B"/>
    <w:rsid w:val="00857E3D"/>
    <w:rsid w:val="008676E3"/>
    <w:rsid w:val="00871427"/>
    <w:rsid w:val="00881B90"/>
    <w:rsid w:val="00893588"/>
    <w:rsid w:val="008A0E74"/>
    <w:rsid w:val="008A7ACF"/>
    <w:rsid w:val="008B2015"/>
    <w:rsid w:val="008B5A97"/>
    <w:rsid w:val="008C6CD4"/>
    <w:rsid w:val="008D3859"/>
    <w:rsid w:val="008E5A88"/>
    <w:rsid w:val="008E6308"/>
    <w:rsid w:val="008F549C"/>
    <w:rsid w:val="00901CFF"/>
    <w:rsid w:val="009225BA"/>
    <w:rsid w:val="00934B9F"/>
    <w:rsid w:val="0094098B"/>
    <w:rsid w:val="009450AC"/>
    <w:rsid w:val="00960F30"/>
    <w:rsid w:val="009667A1"/>
    <w:rsid w:val="00966B78"/>
    <w:rsid w:val="0098499E"/>
    <w:rsid w:val="00987BBC"/>
    <w:rsid w:val="009907FD"/>
    <w:rsid w:val="00993AF2"/>
    <w:rsid w:val="009956EE"/>
    <w:rsid w:val="009B1DB7"/>
    <w:rsid w:val="009C0413"/>
    <w:rsid w:val="009C15EA"/>
    <w:rsid w:val="009C2A8D"/>
    <w:rsid w:val="009E163F"/>
    <w:rsid w:val="009F2210"/>
    <w:rsid w:val="009F39DB"/>
    <w:rsid w:val="009F7ABC"/>
    <w:rsid w:val="00A06390"/>
    <w:rsid w:val="00A47059"/>
    <w:rsid w:val="00A47EDD"/>
    <w:rsid w:val="00A649DB"/>
    <w:rsid w:val="00A714CE"/>
    <w:rsid w:val="00A74FB8"/>
    <w:rsid w:val="00A75391"/>
    <w:rsid w:val="00A76BB3"/>
    <w:rsid w:val="00A80106"/>
    <w:rsid w:val="00A84492"/>
    <w:rsid w:val="00A872AB"/>
    <w:rsid w:val="00A87874"/>
    <w:rsid w:val="00AA698E"/>
    <w:rsid w:val="00AA6A01"/>
    <w:rsid w:val="00AB7049"/>
    <w:rsid w:val="00AB7CF6"/>
    <w:rsid w:val="00AB7D9A"/>
    <w:rsid w:val="00AD56E9"/>
    <w:rsid w:val="00AD7EB4"/>
    <w:rsid w:val="00AE1EC7"/>
    <w:rsid w:val="00B043FA"/>
    <w:rsid w:val="00B06560"/>
    <w:rsid w:val="00B26121"/>
    <w:rsid w:val="00B3498C"/>
    <w:rsid w:val="00B3503E"/>
    <w:rsid w:val="00B7169B"/>
    <w:rsid w:val="00B974C8"/>
    <w:rsid w:val="00BB2297"/>
    <w:rsid w:val="00BB2A8D"/>
    <w:rsid w:val="00BC3790"/>
    <w:rsid w:val="00BC47DD"/>
    <w:rsid w:val="00BC4D03"/>
    <w:rsid w:val="00BF3F14"/>
    <w:rsid w:val="00BF78EC"/>
    <w:rsid w:val="00C37368"/>
    <w:rsid w:val="00C376C1"/>
    <w:rsid w:val="00C52657"/>
    <w:rsid w:val="00C52DF1"/>
    <w:rsid w:val="00C54B20"/>
    <w:rsid w:val="00C754B4"/>
    <w:rsid w:val="00C76335"/>
    <w:rsid w:val="00C77EED"/>
    <w:rsid w:val="00C85AD9"/>
    <w:rsid w:val="00C91E90"/>
    <w:rsid w:val="00CB2362"/>
    <w:rsid w:val="00CB3ABB"/>
    <w:rsid w:val="00CC24F9"/>
    <w:rsid w:val="00CD1EF9"/>
    <w:rsid w:val="00D0322B"/>
    <w:rsid w:val="00D07B88"/>
    <w:rsid w:val="00D07F02"/>
    <w:rsid w:val="00D138FB"/>
    <w:rsid w:val="00D41F42"/>
    <w:rsid w:val="00D46AFD"/>
    <w:rsid w:val="00D46E2A"/>
    <w:rsid w:val="00D723F3"/>
    <w:rsid w:val="00D80180"/>
    <w:rsid w:val="00D84BA1"/>
    <w:rsid w:val="00D96BD9"/>
    <w:rsid w:val="00DB3518"/>
    <w:rsid w:val="00DD2083"/>
    <w:rsid w:val="00DD458A"/>
    <w:rsid w:val="00DE350D"/>
    <w:rsid w:val="00DF434B"/>
    <w:rsid w:val="00DF4AC3"/>
    <w:rsid w:val="00DF745E"/>
    <w:rsid w:val="00E00CAE"/>
    <w:rsid w:val="00E07E2D"/>
    <w:rsid w:val="00E24883"/>
    <w:rsid w:val="00E33266"/>
    <w:rsid w:val="00E33B21"/>
    <w:rsid w:val="00E345EC"/>
    <w:rsid w:val="00E3694B"/>
    <w:rsid w:val="00E40A4A"/>
    <w:rsid w:val="00E43B56"/>
    <w:rsid w:val="00E660EA"/>
    <w:rsid w:val="00E80C2C"/>
    <w:rsid w:val="00E928F5"/>
    <w:rsid w:val="00E93DE0"/>
    <w:rsid w:val="00EB0A48"/>
    <w:rsid w:val="00EB0DBF"/>
    <w:rsid w:val="00EB6212"/>
    <w:rsid w:val="00EB6422"/>
    <w:rsid w:val="00EB7EF1"/>
    <w:rsid w:val="00ED00DC"/>
    <w:rsid w:val="00ED147E"/>
    <w:rsid w:val="00EE2835"/>
    <w:rsid w:val="00F05E27"/>
    <w:rsid w:val="00F07852"/>
    <w:rsid w:val="00F248A6"/>
    <w:rsid w:val="00F34DE1"/>
    <w:rsid w:val="00F36E83"/>
    <w:rsid w:val="00F3730A"/>
    <w:rsid w:val="00F450E3"/>
    <w:rsid w:val="00F4747A"/>
    <w:rsid w:val="00F54EBA"/>
    <w:rsid w:val="00F705A8"/>
    <w:rsid w:val="00F82AC0"/>
    <w:rsid w:val="00F855DC"/>
    <w:rsid w:val="00F97044"/>
    <w:rsid w:val="00FA2C88"/>
    <w:rsid w:val="00FC04C4"/>
    <w:rsid w:val="00FC23AE"/>
    <w:rsid w:val="00FD03B8"/>
    <w:rsid w:val="00FE2447"/>
    <w:rsid w:val="00FE48CA"/>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martTagType w:namespaceuri="urn:schemas-microsoft-com:office:smarttags" w:name="metricconverter"/>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2F307D"/>
    <w:rPr>
      <w:rFonts w:ascii="Calibri" w:hAnsi="Calibri"/>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ListParagraph1">
    <w:name w:val="List Paragraph1"/>
    <w:basedOn w:val="Normln"/>
    <w:uiPriority w:val="99"/>
    <w:rsid w:val="008045BB"/>
    <w:pPr>
      <w:ind w:left="720"/>
    </w:pPr>
    <w:rPr>
      <w:szCs w:val="22"/>
      <w:lang w:eastAsia="en-US"/>
    </w:rPr>
  </w:style>
  <w:style w:type="character" w:styleId="Hypertextovodkaz">
    <w:name w:val="Hyperlink"/>
    <w:basedOn w:val="Standardnpsmoodstavce"/>
    <w:uiPriority w:val="99"/>
    <w:rsid w:val="00F05E27"/>
    <w:rPr>
      <w:rFonts w:cs="Times New Roman"/>
      <w:color w:val="0000FF"/>
      <w:u w:val="single"/>
    </w:rPr>
  </w:style>
  <w:style w:type="paragraph" w:styleId="Zhlav">
    <w:name w:val="header"/>
    <w:basedOn w:val="Normln"/>
    <w:link w:val="ZhlavChar"/>
    <w:uiPriority w:val="99"/>
    <w:rsid w:val="00F05E27"/>
    <w:pPr>
      <w:tabs>
        <w:tab w:val="center" w:pos="4536"/>
        <w:tab w:val="right" w:pos="9072"/>
      </w:tabs>
    </w:pPr>
  </w:style>
  <w:style w:type="character" w:customStyle="1" w:styleId="ZhlavChar">
    <w:name w:val="Záhlaví Char"/>
    <w:basedOn w:val="Standardnpsmoodstavce"/>
    <w:link w:val="Zhlav"/>
    <w:uiPriority w:val="99"/>
    <w:semiHidden/>
    <w:locked/>
    <w:rsid w:val="00CB2362"/>
    <w:rPr>
      <w:rFonts w:ascii="Calibri" w:hAnsi="Calibri" w:cs="Times New Roman"/>
      <w:sz w:val="24"/>
      <w:szCs w:val="24"/>
    </w:rPr>
  </w:style>
  <w:style w:type="paragraph" w:styleId="Zpat">
    <w:name w:val="footer"/>
    <w:basedOn w:val="Normln"/>
    <w:link w:val="ZpatChar"/>
    <w:uiPriority w:val="99"/>
    <w:rsid w:val="00F05E27"/>
    <w:pPr>
      <w:tabs>
        <w:tab w:val="center" w:pos="4536"/>
        <w:tab w:val="right" w:pos="9072"/>
      </w:tabs>
    </w:pPr>
  </w:style>
  <w:style w:type="character" w:customStyle="1" w:styleId="ZpatChar">
    <w:name w:val="Zápatí Char"/>
    <w:basedOn w:val="Standardnpsmoodstavce"/>
    <w:link w:val="Zpat"/>
    <w:uiPriority w:val="99"/>
    <w:semiHidden/>
    <w:locked/>
    <w:rsid w:val="00CB2362"/>
    <w:rPr>
      <w:rFonts w:ascii="Calibri" w:hAnsi="Calibri" w:cs="Times New Roman"/>
      <w:sz w:val="24"/>
      <w:szCs w:val="24"/>
    </w:rPr>
  </w:style>
  <w:style w:type="character" w:customStyle="1" w:styleId="apple-converted-space">
    <w:name w:val="apple-converted-space"/>
    <w:basedOn w:val="Standardnpsmoodstavce"/>
    <w:uiPriority w:val="99"/>
    <w:rsid w:val="00140E86"/>
    <w:rPr>
      <w:rFonts w:cs="Times New Roman"/>
    </w:rPr>
  </w:style>
  <w:style w:type="paragraph" w:styleId="Textbubliny">
    <w:name w:val="Balloon Text"/>
    <w:basedOn w:val="Normln"/>
    <w:link w:val="TextbublinyChar"/>
    <w:uiPriority w:val="99"/>
    <w:semiHidden/>
    <w:rsid w:val="00AD56E9"/>
    <w:rPr>
      <w:rFonts w:ascii="Tahoma" w:hAnsi="Tahoma" w:cs="Tahoma"/>
      <w:sz w:val="16"/>
      <w:szCs w:val="16"/>
    </w:rPr>
  </w:style>
  <w:style w:type="character" w:customStyle="1" w:styleId="TextbublinyChar">
    <w:name w:val="Text bubliny Char"/>
    <w:basedOn w:val="Standardnpsmoodstavce"/>
    <w:link w:val="Textbubliny"/>
    <w:uiPriority w:val="99"/>
    <w:semiHidden/>
    <w:locked/>
    <w:rsid w:val="00CC24F9"/>
    <w:rPr>
      <w:rFonts w:cs="Times New Roman"/>
      <w:sz w:val="2"/>
    </w:rPr>
  </w:style>
  <w:style w:type="paragraph" w:customStyle="1" w:styleId="Default">
    <w:name w:val="Default"/>
    <w:uiPriority w:val="99"/>
    <w:rsid w:val="009F2210"/>
    <w:pPr>
      <w:autoSpaceDE w:val="0"/>
      <w:autoSpaceDN w:val="0"/>
      <w:adjustRightInd w:val="0"/>
    </w:pPr>
    <w:rPr>
      <w:rFonts w:ascii="Calibri" w:hAnsi="Calibri" w:cs="Calibri"/>
      <w:color w:val="000000"/>
      <w:sz w:val="24"/>
      <w:szCs w:val="24"/>
    </w:rPr>
  </w:style>
  <w:style w:type="character" w:customStyle="1" w:styleId="EmailStyle25">
    <w:name w:val="EmailStyle25"/>
    <w:basedOn w:val="Standardnpsmoodstavce"/>
    <w:uiPriority w:val="99"/>
    <w:semiHidden/>
    <w:rsid w:val="002F66C2"/>
    <w:rPr>
      <w:rFonts w:ascii="Arial" w:hAnsi="Arial" w:cs="Arial"/>
      <w:color w:val="auto"/>
      <w:sz w:val="20"/>
      <w:szCs w:val="20"/>
    </w:rPr>
  </w:style>
  <w:style w:type="paragraph" w:styleId="Normlnweb">
    <w:name w:val="Normal (Web)"/>
    <w:basedOn w:val="Normln"/>
    <w:uiPriority w:val="99"/>
    <w:semiHidden/>
    <w:unhideWhenUsed/>
    <w:rsid w:val="003E0D2F"/>
    <w:pPr>
      <w:spacing w:before="100" w:beforeAutospacing="1" w:after="100" w:afterAutospacing="1"/>
    </w:pPr>
    <w:rPr>
      <w:rFonts w:ascii="Times New Roman" w:hAnsi="Times New Roman"/>
      <w:sz w:val="24"/>
    </w:rPr>
  </w:style>
  <w:style w:type="character" w:styleId="Zvraznn">
    <w:name w:val="Emphasis"/>
    <w:basedOn w:val="Standardnpsmoodstavce"/>
    <w:uiPriority w:val="20"/>
    <w:qFormat/>
    <w:locked/>
    <w:rsid w:val="003E0D2F"/>
    <w:rPr>
      <w:i/>
      <w:iCs/>
    </w:rPr>
  </w:style>
</w:styles>
</file>

<file path=word/webSettings.xml><?xml version="1.0" encoding="utf-8"?>
<w:webSettings xmlns:r="http://schemas.openxmlformats.org/officeDocument/2006/relationships" xmlns:w="http://schemas.openxmlformats.org/wordprocessingml/2006/main">
  <w:divs>
    <w:div w:id="309019497">
      <w:marLeft w:val="0"/>
      <w:marRight w:val="0"/>
      <w:marTop w:val="0"/>
      <w:marBottom w:val="0"/>
      <w:divBdr>
        <w:top w:val="none" w:sz="0" w:space="0" w:color="auto"/>
        <w:left w:val="none" w:sz="0" w:space="0" w:color="auto"/>
        <w:bottom w:val="none" w:sz="0" w:space="0" w:color="auto"/>
        <w:right w:val="none" w:sz="0" w:space="0" w:color="auto"/>
      </w:divBdr>
      <w:divsChild>
        <w:div w:id="309019496">
          <w:marLeft w:val="0"/>
          <w:marRight w:val="0"/>
          <w:marTop w:val="0"/>
          <w:marBottom w:val="0"/>
          <w:divBdr>
            <w:top w:val="none" w:sz="0" w:space="0" w:color="auto"/>
            <w:left w:val="none" w:sz="0" w:space="0" w:color="auto"/>
            <w:bottom w:val="none" w:sz="0" w:space="0" w:color="auto"/>
            <w:right w:val="none" w:sz="0" w:space="0" w:color="auto"/>
          </w:divBdr>
        </w:div>
        <w:div w:id="309019499">
          <w:marLeft w:val="0"/>
          <w:marRight w:val="0"/>
          <w:marTop w:val="0"/>
          <w:marBottom w:val="0"/>
          <w:divBdr>
            <w:top w:val="none" w:sz="0" w:space="0" w:color="auto"/>
            <w:left w:val="none" w:sz="0" w:space="0" w:color="auto"/>
            <w:bottom w:val="none" w:sz="0" w:space="0" w:color="auto"/>
            <w:right w:val="none" w:sz="0" w:space="0" w:color="auto"/>
          </w:divBdr>
        </w:div>
      </w:divsChild>
    </w:div>
    <w:div w:id="309019498">
      <w:marLeft w:val="0"/>
      <w:marRight w:val="0"/>
      <w:marTop w:val="0"/>
      <w:marBottom w:val="0"/>
      <w:divBdr>
        <w:top w:val="none" w:sz="0" w:space="0" w:color="auto"/>
        <w:left w:val="none" w:sz="0" w:space="0" w:color="auto"/>
        <w:bottom w:val="none" w:sz="0" w:space="0" w:color="auto"/>
        <w:right w:val="none" w:sz="0" w:space="0" w:color="auto"/>
      </w:divBdr>
      <w:divsChild>
        <w:div w:id="309019534">
          <w:marLeft w:val="0"/>
          <w:marRight w:val="0"/>
          <w:marTop w:val="0"/>
          <w:marBottom w:val="0"/>
          <w:divBdr>
            <w:top w:val="none" w:sz="0" w:space="0" w:color="auto"/>
            <w:left w:val="none" w:sz="0" w:space="0" w:color="auto"/>
            <w:bottom w:val="none" w:sz="0" w:space="0" w:color="auto"/>
            <w:right w:val="none" w:sz="0" w:space="0" w:color="auto"/>
          </w:divBdr>
        </w:div>
        <w:div w:id="309019535">
          <w:marLeft w:val="0"/>
          <w:marRight w:val="0"/>
          <w:marTop w:val="0"/>
          <w:marBottom w:val="0"/>
          <w:divBdr>
            <w:top w:val="none" w:sz="0" w:space="0" w:color="auto"/>
            <w:left w:val="none" w:sz="0" w:space="0" w:color="auto"/>
            <w:bottom w:val="none" w:sz="0" w:space="0" w:color="auto"/>
            <w:right w:val="none" w:sz="0" w:space="0" w:color="auto"/>
          </w:divBdr>
        </w:div>
      </w:divsChild>
    </w:div>
    <w:div w:id="309019500">
      <w:marLeft w:val="0"/>
      <w:marRight w:val="0"/>
      <w:marTop w:val="0"/>
      <w:marBottom w:val="0"/>
      <w:divBdr>
        <w:top w:val="none" w:sz="0" w:space="0" w:color="auto"/>
        <w:left w:val="none" w:sz="0" w:space="0" w:color="auto"/>
        <w:bottom w:val="none" w:sz="0" w:space="0" w:color="auto"/>
        <w:right w:val="none" w:sz="0" w:space="0" w:color="auto"/>
      </w:divBdr>
      <w:divsChild>
        <w:div w:id="309019506">
          <w:marLeft w:val="0"/>
          <w:marRight w:val="0"/>
          <w:marTop w:val="0"/>
          <w:marBottom w:val="0"/>
          <w:divBdr>
            <w:top w:val="none" w:sz="0" w:space="0" w:color="auto"/>
            <w:left w:val="none" w:sz="0" w:space="0" w:color="auto"/>
            <w:bottom w:val="none" w:sz="0" w:space="0" w:color="auto"/>
            <w:right w:val="none" w:sz="0" w:space="0" w:color="auto"/>
          </w:divBdr>
          <w:divsChild>
            <w:div w:id="309019510">
              <w:marLeft w:val="0"/>
              <w:marRight w:val="0"/>
              <w:marTop w:val="0"/>
              <w:marBottom w:val="0"/>
              <w:divBdr>
                <w:top w:val="none" w:sz="0" w:space="0" w:color="auto"/>
                <w:left w:val="none" w:sz="0" w:space="0" w:color="auto"/>
                <w:bottom w:val="none" w:sz="0" w:space="0" w:color="auto"/>
                <w:right w:val="none" w:sz="0" w:space="0" w:color="auto"/>
              </w:divBdr>
            </w:div>
            <w:div w:id="309019519">
              <w:marLeft w:val="0"/>
              <w:marRight w:val="0"/>
              <w:marTop w:val="0"/>
              <w:marBottom w:val="0"/>
              <w:divBdr>
                <w:top w:val="none" w:sz="0" w:space="0" w:color="auto"/>
                <w:left w:val="none" w:sz="0" w:space="0" w:color="auto"/>
                <w:bottom w:val="none" w:sz="0" w:space="0" w:color="auto"/>
                <w:right w:val="none" w:sz="0" w:space="0" w:color="auto"/>
              </w:divBdr>
            </w:div>
            <w:div w:id="309019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019501">
      <w:marLeft w:val="0"/>
      <w:marRight w:val="0"/>
      <w:marTop w:val="0"/>
      <w:marBottom w:val="0"/>
      <w:divBdr>
        <w:top w:val="none" w:sz="0" w:space="0" w:color="auto"/>
        <w:left w:val="none" w:sz="0" w:space="0" w:color="auto"/>
        <w:bottom w:val="none" w:sz="0" w:space="0" w:color="auto"/>
        <w:right w:val="none" w:sz="0" w:space="0" w:color="auto"/>
      </w:divBdr>
      <w:divsChild>
        <w:div w:id="309019517">
          <w:marLeft w:val="0"/>
          <w:marRight w:val="0"/>
          <w:marTop w:val="0"/>
          <w:marBottom w:val="0"/>
          <w:divBdr>
            <w:top w:val="none" w:sz="0" w:space="0" w:color="auto"/>
            <w:left w:val="none" w:sz="0" w:space="0" w:color="auto"/>
            <w:bottom w:val="none" w:sz="0" w:space="0" w:color="auto"/>
            <w:right w:val="none" w:sz="0" w:space="0" w:color="auto"/>
          </w:divBdr>
          <w:divsChild>
            <w:div w:id="309019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019503">
      <w:marLeft w:val="0"/>
      <w:marRight w:val="0"/>
      <w:marTop w:val="0"/>
      <w:marBottom w:val="0"/>
      <w:divBdr>
        <w:top w:val="none" w:sz="0" w:space="0" w:color="auto"/>
        <w:left w:val="none" w:sz="0" w:space="0" w:color="auto"/>
        <w:bottom w:val="none" w:sz="0" w:space="0" w:color="auto"/>
        <w:right w:val="none" w:sz="0" w:space="0" w:color="auto"/>
      </w:divBdr>
      <w:divsChild>
        <w:div w:id="309019511">
          <w:marLeft w:val="0"/>
          <w:marRight w:val="0"/>
          <w:marTop w:val="0"/>
          <w:marBottom w:val="0"/>
          <w:divBdr>
            <w:top w:val="none" w:sz="0" w:space="0" w:color="auto"/>
            <w:left w:val="none" w:sz="0" w:space="0" w:color="auto"/>
            <w:bottom w:val="none" w:sz="0" w:space="0" w:color="auto"/>
            <w:right w:val="none" w:sz="0" w:space="0" w:color="auto"/>
          </w:divBdr>
          <w:divsChild>
            <w:div w:id="309019512">
              <w:marLeft w:val="0"/>
              <w:marRight w:val="0"/>
              <w:marTop w:val="0"/>
              <w:marBottom w:val="0"/>
              <w:divBdr>
                <w:top w:val="none" w:sz="0" w:space="0" w:color="auto"/>
                <w:left w:val="none" w:sz="0" w:space="0" w:color="auto"/>
                <w:bottom w:val="none" w:sz="0" w:space="0" w:color="auto"/>
                <w:right w:val="none" w:sz="0" w:space="0" w:color="auto"/>
              </w:divBdr>
            </w:div>
            <w:div w:id="309019515">
              <w:marLeft w:val="0"/>
              <w:marRight w:val="0"/>
              <w:marTop w:val="0"/>
              <w:marBottom w:val="0"/>
              <w:divBdr>
                <w:top w:val="none" w:sz="0" w:space="0" w:color="auto"/>
                <w:left w:val="none" w:sz="0" w:space="0" w:color="auto"/>
                <w:bottom w:val="none" w:sz="0" w:space="0" w:color="auto"/>
                <w:right w:val="none" w:sz="0" w:space="0" w:color="auto"/>
              </w:divBdr>
            </w:div>
            <w:div w:id="309019528">
              <w:marLeft w:val="0"/>
              <w:marRight w:val="0"/>
              <w:marTop w:val="0"/>
              <w:marBottom w:val="0"/>
              <w:divBdr>
                <w:top w:val="none" w:sz="0" w:space="0" w:color="auto"/>
                <w:left w:val="none" w:sz="0" w:space="0" w:color="auto"/>
                <w:bottom w:val="none" w:sz="0" w:space="0" w:color="auto"/>
                <w:right w:val="none" w:sz="0" w:space="0" w:color="auto"/>
              </w:divBdr>
            </w:div>
            <w:div w:id="309019530">
              <w:marLeft w:val="0"/>
              <w:marRight w:val="0"/>
              <w:marTop w:val="0"/>
              <w:marBottom w:val="0"/>
              <w:divBdr>
                <w:top w:val="none" w:sz="0" w:space="0" w:color="auto"/>
                <w:left w:val="none" w:sz="0" w:space="0" w:color="auto"/>
                <w:bottom w:val="none" w:sz="0" w:space="0" w:color="auto"/>
                <w:right w:val="none" w:sz="0" w:space="0" w:color="auto"/>
              </w:divBdr>
            </w:div>
            <w:div w:id="309019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019504">
      <w:marLeft w:val="0"/>
      <w:marRight w:val="0"/>
      <w:marTop w:val="0"/>
      <w:marBottom w:val="0"/>
      <w:divBdr>
        <w:top w:val="none" w:sz="0" w:space="0" w:color="auto"/>
        <w:left w:val="none" w:sz="0" w:space="0" w:color="auto"/>
        <w:bottom w:val="none" w:sz="0" w:space="0" w:color="auto"/>
        <w:right w:val="none" w:sz="0" w:space="0" w:color="auto"/>
      </w:divBdr>
      <w:divsChild>
        <w:div w:id="309019524">
          <w:marLeft w:val="0"/>
          <w:marRight w:val="0"/>
          <w:marTop w:val="0"/>
          <w:marBottom w:val="0"/>
          <w:divBdr>
            <w:top w:val="none" w:sz="0" w:space="0" w:color="auto"/>
            <w:left w:val="none" w:sz="0" w:space="0" w:color="auto"/>
            <w:bottom w:val="none" w:sz="0" w:space="0" w:color="auto"/>
            <w:right w:val="none" w:sz="0" w:space="0" w:color="auto"/>
          </w:divBdr>
          <w:divsChild>
            <w:div w:id="309019513">
              <w:marLeft w:val="0"/>
              <w:marRight w:val="0"/>
              <w:marTop w:val="0"/>
              <w:marBottom w:val="0"/>
              <w:divBdr>
                <w:top w:val="none" w:sz="0" w:space="0" w:color="auto"/>
                <w:left w:val="none" w:sz="0" w:space="0" w:color="auto"/>
                <w:bottom w:val="none" w:sz="0" w:space="0" w:color="auto"/>
                <w:right w:val="none" w:sz="0" w:space="0" w:color="auto"/>
              </w:divBdr>
            </w:div>
            <w:div w:id="309019518">
              <w:marLeft w:val="0"/>
              <w:marRight w:val="0"/>
              <w:marTop w:val="0"/>
              <w:marBottom w:val="0"/>
              <w:divBdr>
                <w:top w:val="none" w:sz="0" w:space="0" w:color="auto"/>
                <w:left w:val="none" w:sz="0" w:space="0" w:color="auto"/>
                <w:bottom w:val="none" w:sz="0" w:space="0" w:color="auto"/>
                <w:right w:val="none" w:sz="0" w:space="0" w:color="auto"/>
              </w:divBdr>
            </w:div>
            <w:div w:id="309019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019507">
      <w:marLeft w:val="0"/>
      <w:marRight w:val="0"/>
      <w:marTop w:val="0"/>
      <w:marBottom w:val="0"/>
      <w:divBdr>
        <w:top w:val="none" w:sz="0" w:space="0" w:color="auto"/>
        <w:left w:val="none" w:sz="0" w:space="0" w:color="auto"/>
        <w:bottom w:val="none" w:sz="0" w:space="0" w:color="auto"/>
        <w:right w:val="none" w:sz="0" w:space="0" w:color="auto"/>
      </w:divBdr>
      <w:divsChild>
        <w:div w:id="309019516">
          <w:marLeft w:val="0"/>
          <w:marRight w:val="0"/>
          <w:marTop w:val="0"/>
          <w:marBottom w:val="0"/>
          <w:divBdr>
            <w:top w:val="none" w:sz="0" w:space="0" w:color="auto"/>
            <w:left w:val="none" w:sz="0" w:space="0" w:color="auto"/>
            <w:bottom w:val="none" w:sz="0" w:space="0" w:color="auto"/>
            <w:right w:val="none" w:sz="0" w:space="0" w:color="auto"/>
          </w:divBdr>
          <w:divsChild>
            <w:div w:id="309019502">
              <w:marLeft w:val="0"/>
              <w:marRight w:val="0"/>
              <w:marTop w:val="0"/>
              <w:marBottom w:val="0"/>
              <w:divBdr>
                <w:top w:val="none" w:sz="0" w:space="0" w:color="auto"/>
                <w:left w:val="none" w:sz="0" w:space="0" w:color="auto"/>
                <w:bottom w:val="none" w:sz="0" w:space="0" w:color="auto"/>
                <w:right w:val="none" w:sz="0" w:space="0" w:color="auto"/>
              </w:divBdr>
            </w:div>
            <w:div w:id="309019509">
              <w:marLeft w:val="0"/>
              <w:marRight w:val="0"/>
              <w:marTop w:val="0"/>
              <w:marBottom w:val="0"/>
              <w:divBdr>
                <w:top w:val="none" w:sz="0" w:space="0" w:color="auto"/>
                <w:left w:val="none" w:sz="0" w:space="0" w:color="auto"/>
                <w:bottom w:val="none" w:sz="0" w:space="0" w:color="auto"/>
                <w:right w:val="none" w:sz="0" w:space="0" w:color="auto"/>
              </w:divBdr>
            </w:div>
            <w:div w:id="30901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019522">
      <w:marLeft w:val="0"/>
      <w:marRight w:val="0"/>
      <w:marTop w:val="0"/>
      <w:marBottom w:val="0"/>
      <w:divBdr>
        <w:top w:val="none" w:sz="0" w:space="0" w:color="auto"/>
        <w:left w:val="none" w:sz="0" w:space="0" w:color="auto"/>
        <w:bottom w:val="none" w:sz="0" w:space="0" w:color="auto"/>
        <w:right w:val="none" w:sz="0" w:space="0" w:color="auto"/>
      </w:divBdr>
      <w:divsChild>
        <w:div w:id="309019520">
          <w:marLeft w:val="0"/>
          <w:marRight w:val="0"/>
          <w:marTop w:val="0"/>
          <w:marBottom w:val="0"/>
          <w:divBdr>
            <w:top w:val="none" w:sz="0" w:space="0" w:color="auto"/>
            <w:left w:val="none" w:sz="0" w:space="0" w:color="auto"/>
            <w:bottom w:val="none" w:sz="0" w:space="0" w:color="auto"/>
            <w:right w:val="none" w:sz="0" w:space="0" w:color="auto"/>
          </w:divBdr>
          <w:divsChild>
            <w:div w:id="309019505">
              <w:marLeft w:val="0"/>
              <w:marRight w:val="0"/>
              <w:marTop w:val="0"/>
              <w:marBottom w:val="0"/>
              <w:divBdr>
                <w:top w:val="none" w:sz="0" w:space="0" w:color="auto"/>
                <w:left w:val="none" w:sz="0" w:space="0" w:color="auto"/>
                <w:bottom w:val="none" w:sz="0" w:space="0" w:color="auto"/>
                <w:right w:val="none" w:sz="0" w:space="0" w:color="auto"/>
              </w:divBdr>
            </w:div>
            <w:div w:id="309019508">
              <w:marLeft w:val="0"/>
              <w:marRight w:val="0"/>
              <w:marTop w:val="0"/>
              <w:marBottom w:val="0"/>
              <w:divBdr>
                <w:top w:val="none" w:sz="0" w:space="0" w:color="auto"/>
                <w:left w:val="none" w:sz="0" w:space="0" w:color="auto"/>
                <w:bottom w:val="none" w:sz="0" w:space="0" w:color="auto"/>
                <w:right w:val="none" w:sz="0" w:space="0" w:color="auto"/>
              </w:divBdr>
            </w:div>
            <w:div w:id="309019514">
              <w:marLeft w:val="0"/>
              <w:marRight w:val="0"/>
              <w:marTop w:val="0"/>
              <w:marBottom w:val="0"/>
              <w:divBdr>
                <w:top w:val="none" w:sz="0" w:space="0" w:color="auto"/>
                <w:left w:val="none" w:sz="0" w:space="0" w:color="auto"/>
                <w:bottom w:val="none" w:sz="0" w:space="0" w:color="auto"/>
                <w:right w:val="none" w:sz="0" w:space="0" w:color="auto"/>
              </w:divBdr>
            </w:div>
            <w:div w:id="309019521">
              <w:marLeft w:val="0"/>
              <w:marRight w:val="0"/>
              <w:marTop w:val="0"/>
              <w:marBottom w:val="0"/>
              <w:divBdr>
                <w:top w:val="none" w:sz="0" w:space="0" w:color="auto"/>
                <w:left w:val="none" w:sz="0" w:space="0" w:color="auto"/>
                <w:bottom w:val="none" w:sz="0" w:space="0" w:color="auto"/>
                <w:right w:val="none" w:sz="0" w:space="0" w:color="auto"/>
              </w:divBdr>
            </w:div>
            <w:div w:id="309019523">
              <w:marLeft w:val="0"/>
              <w:marRight w:val="0"/>
              <w:marTop w:val="0"/>
              <w:marBottom w:val="0"/>
              <w:divBdr>
                <w:top w:val="none" w:sz="0" w:space="0" w:color="auto"/>
                <w:left w:val="none" w:sz="0" w:space="0" w:color="auto"/>
                <w:bottom w:val="none" w:sz="0" w:space="0" w:color="auto"/>
                <w:right w:val="none" w:sz="0" w:space="0" w:color="auto"/>
              </w:divBdr>
            </w:div>
            <w:div w:id="309019526">
              <w:marLeft w:val="0"/>
              <w:marRight w:val="0"/>
              <w:marTop w:val="0"/>
              <w:marBottom w:val="0"/>
              <w:divBdr>
                <w:top w:val="none" w:sz="0" w:space="0" w:color="auto"/>
                <w:left w:val="none" w:sz="0" w:space="0" w:color="auto"/>
                <w:bottom w:val="none" w:sz="0" w:space="0" w:color="auto"/>
                <w:right w:val="none" w:sz="0" w:space="0" w:color="auto"/>
              </w:divBdr>
            </w:div>
            <w:div w:id="30901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edia@asociaceveritelu.cz" TargetMode="External"/><Relationship Id="rId3" Type="http://schemas.openxmlformats.org/officeDocument/2006/relationships/settings" Target="settings.xml"/><Relationship Id="rId7" Type="http://schemas.openxmlformats.org/officeDocument/2006/relationships/hyperlink" Target="http://www.asociaceveritelu.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2</Pages>
  <Words>652</Words>
  <Characters>3851</Characters>
  <Application>Microsoft Office Word</Application>
  <DocSecurity>0</DocSecurity>
  <Lines>32</Lines>
  <Paragraphs>8</Paragraphs>
  <ScaleCrop>false</ScaleCrop>
  <HeadingPairs>
    <vt:vector size="2" baseType="variant">
      <vt:variant>
        <vt:lpstr>Název</vt:lpstr>
      </vt:variant>
      <vt:variant>
        <vt:i4>1</vt:i4>
      </vt:variant>
    </vt:vector>
  </HeadingPairs>
  <TitlesOfParts>
    <vt:vector size="1" baseType="lpstr">
      <vt:lpstr>Česká asociace věřitelů podporuje humanizaci exekucí</vt:lpstr>
    </vt:vector>
  </TitlesOfParts>
  <Company>GOPAS, a.s.</Company>
  <LinksUpToDate>false</LinksUpToDate>
  <CharactersWithSpaces>4495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Česká asociace věřitelů podporuje humanizaci exekucí</dc:title>
  <dc:creator>xxx</dc:creator>
  <cp:lastModifiedBy>Alžběta Běličová</cp:lastModifiedBy>
  <cp:revision>4</cp:revision>
  <dcterms:created xsi:type="dcterms:W3CDTF">2016-10-13T14:17:00Z</dcterms:created>
  <dcterms:modified xsi:type="dcterms:W3CDTF">2016-10-13T14:57:00Z</dcterms:modified>
</cp:coreProperties>
</file>