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1C" w:rsidRDefault="0005111C" w:rsidP="0098499E">
      <w:pPr>
        <w:spacing w:after="480" w:line="280" w:lineRule="atLeast"/>
        <w:rPr>
          <w:rFonts w:cs="Arial"/>
          <w:i/>
          <w:szCs w:val="20"/>
        </w:rPr>
      </w:pPr>
      <w:r>
        <w:rPr>
          <w:rFonts w:cs="Arial"/>
          <w:i/>
          <w:szCs w:val="20"/>
        </w:rPr>
        <w:t>Tisková zpráva, 1</w:t>
      </w:r>
      <w:r w:rsidRPr="002A1EB2">
        <w:rPr>
          <w:rFonts w:cs="Arial"/>
          <w:i/>
          <w:szCs w:val="20"/>
        </w:rPr>
        <w:t>.</w:t>
      </w:r>
      <w:r>
        <w:rPr>
          <w:rFonts w:cs="Arial"/>
          <w:i/>
          <w:szCs w:val="20"/>
        </w:rPr>
        <w:t xml:space="preserve"> března 2016</w:t>
      </w:r>
    </w:p>
    <w:p w:rsidR="0005111C" w:rsidRPr="002E356D" w:rsidRDefault="0005111C" w:rsidP="002E356D">
      <w:pPr>
        <w:spacing w:after="120"/>
        <w:jc w:val="both"/>
        <w:rPr>
          <w:b/>
          <w:sz w:val="34"/>
          <w:szCs w:val="34"/>
        </w:rPr>
      </w:pPr>
      <w:r w:rsidRPr="002E356D">
        <w:rPr>
          <w:b/>
          <w:sz w:val="34"/>
          <w:szCs w:val="34"/>
        </w:rPr>
        <w:t>Věřitelé nemohou paušálně odpovídat za solventnost dlužníků</w:t>
      </w:r>
    </w:p>
    <w:p w:rsidR="0005111C" w:rsidRPr="003A1E8B" w:rsidRDefault="0005111C" w:rsidP="002E356D">
      <w:pPr>
        <w:spacing w:after="120"/>
        <w:jc w:val="both"/>
        <w:rPr>
          <w:b/>
          <w:sz w:val="26"/>
          <w:szCs w:val="26"/>
        </w:rPr>
      </w:pPr>
      <w:r w:rsidRPr="003A1E8B">
        <w:rPr>
          <w:b/>
          <w:sz w:val="26"/>
          <w:szCs w:val="26"/>
        </w:rPr>
        <w:t>Mají-li se podílet na exekučních nákladech, nesmí být nadále krácena jejich práva</w:t>
      </w:r>
    </w:p>
    <w:p w:rsidR="0005111C" w:rsidRDefault="0005111C" w:rsidP="002E356D"/>
    <w:p w:rsidR="0005111C" w:rsidRPr="00C91E90" w:rsidRDefault="0005111C" w:rsidP="00C91E90">
      <w:pPr>
        <w:spacing w:after="120"/>
        <w:jc w:val="both"/>
        <w:rPr>
          <w:b/>
        </w:rPr>
      </w:pPr>
      <w:r>
        <w:rPr>
          <w:b/>
        </w:rPr>
        <w:t xml:space="preserve">Česká asociace věřitelů </w:t>
      </w:r>
      <w:r w:rsidRPr="000B5E1B">
        <w:rPr>
          <w:b/>
        </w:rPr>
        <w:t xml:space="preserve">vnímá </w:t>
      </w:r>
      <w:r>
        <w:rPr>
          <w:b/>
        </w:rPr>
        <w:t>závažné sociální i ekonomické problémy spojené s nárůstem tzv. multiexekucí. Zachování stability exekutorských úřadů je zásadní podmínkou dlouhodobě efektivního fungování systému vymáhání pohledávek. Velká část věřitelů ovšem z povahy věci nemůže nést odpovědnost za solventnost svých dlužníků. Mají-li se i přesto nově podílet na úhradě exekučních nákladů, musí být zároveň ochráněna a posílena jejich práva. Zavedení povinných záloh na náklady exekuce v žádném případě nemůže jít ruku v ruce se zavedením exekutorské teritoriality nebo rozvolňováním institutu osobního bankrotu.</w:t>
      </w:r>
    </w:p>
    <w:p w:rsidR="0005111C" w:rsidRDefault="0005111C" w:rsidP="00092783">
      <w:pPr>
        <w:tabs>
          <w:tab w:val="num" w:pos="720"/>
        </w:tabs>
        <w:spacing w:after="120"/>
        <w:jc w:val="both"/>
      </w:pPr>
      <w:r>
        <w:t>„</w:t>
      </w:r>
      <w:r w:rsidRPr="00D723F3">
        <w:rPr>
          <w:i/>
        </w:rPr>
        <w:t xml:space="preserve">Vyžadovat po věřitelích, aby </w:t>
      </w:r>
      <w:r>
        <w:rPr>
          <w:i/>
        </w:rPr>
        <w:t>finančně</w:t>
      </w:r>
      <w:r w:rsidRPr="00D723F3">
        <w:rPr>
          <w:i/>
        </w:rPr>
        <w:t xml:space="preserve"> odpovídali za riziko, že jejich dlužník není či v budoucnu nebude solventní, </w:t>
      </w:r>
      <w:r>
        <w:rPr>
          <w:i/>
        </w:rPr>
        <w:t xml:space="preserve">považuji za velmi </w:t>
      </w:r>
      <w:r w:rsidRPr="00D723F3">
        <w:rPr>
          <w:i/>
        </w:rPr>
        <w:t xml:space="preserve">nespravedlivé. Je potřeba si uvědomit, že velká část věřitelů </w:t>
      </w:r>
      <w:r>
        <w:rPr>
          <w:i/>
        </w:rPr>
        <w:t>nepřispěla ke</w:t>
      </w:r>
      <w:r w:rsidRPr="00D723F3">
        <w:rPr>
          <w:i/>
        </w:rPr>
        <w:t xml:space="preserve"> vznik</w:t>
      </w:r>
      <w:r>
        <w:rPr>
          <w:i/>
        </w:rPr>
        <w:t>u</w:t>
      </w:r>
      <w:r w:rsidRPr="00D723F3">
        <w:rPr>
          <w:i/>
        </w:rPr>
        <w:t xml:space="preserve"> po</w:t>
      </w:r>
      <w:r>
        <w:rPr>
          <w:i/>
        </w:rPr>
        <w:t>hledáv</w:t>
      </w:r>
      <w:r w:rsidRPr="00D723F3">
        <w:rPr>
          <w:i/>
        </w:rPr>
        <w:t>k</w:t>
      </w:r>
      <w:r>
        <w:rPr>
          <w:i/>
        </w:rPr>
        <w:t>y</w:t>
      </w:r>
      <w:r w:rsidRPr="00D723F3">
        <w:rPr>
          <w:i/>
        </w:rPr>
        <w:t xml:space="preserve"> </w:t>
      </w:r>
      <w:r>
        <w:rPr>
          <w:i/>
        </w:rPr>
        <w:t>svým přičiněním</w:t>
      </w:r>
      <w:r w:rsidRPr="00D723F3">
        <w:rPr>
          <w:i/>
        </w:rPr>
        <w:t xml:space="preserve">, naopak byla do pozice věřitele nedobrovolně postavena neodpovědným </w:t>
      </w:r>
      <w:r>
        <w:rPr>
          <w:i/>
        </w:rPr>
        <w:t>či nekalým jednáním</w:t>
      </w:r>
      <w:r w:rsidRPr="00D723F3">
        <w:rPr>
          <w:i/>
        </w:rPr>
        <w:t xml:space="preserve"> </w:t>
      </w:r>
      <w:r>
        <w:rPr>
          <w:i/>
        </w:rPr>
        <w:t>dlužníka,</w:t>
      </w:r>
      <w:r>
        <w:t xml:space="preserve">,“ upozorňuje </w:t>
      </w:r>
      <w:smartTag w:uri="urn:schemas-microsoft-com:office:smarttags" w:element="PersonName">
        <w:smartTagPr>
          <w:attr w:name="ProductID" w:val="Pavel Staněk,"/>
        </w:smartTagPr>
        <w:r>
          <w:t>Pavel Staněk,</w:t>
        </w:r>
      </w:smartTag>
      <w:r>
        <w:t xml:space="preserve"> prezident České asociace věřitelů, a dodává: „</w:t>
      </w:r>
      <w:r>
        <w:rPr>
          <w:i/>
        </w:rPr>
        <w:t>Těžko lze například maminku, která se domáhá výživného pro své dítě, vinit z toho, že si včas a řádně neprověřila vůli a schopnost svého partnera platit výživné, a požadovat po ní v důsledku toho podíl na úhradě exekučních nákladů</w:t>
      </w:r>
      <w:r w:rsidRPr="004D600F">
        <w:t>.“</w:t>
      </w:r>
    </w:p>
    <w:p w:rsidR="0005111C" w:rsidRDefault="0005111C" w:rsidP="00C91E90">
      <w:pPr>
        <w:tabs>
          <w:tab w:val="num" w:pos="720"/>
        </w:tabs>
        <w:spacing w:after="120"/>
        <w:jc w:val="both"/>
      </w:pPr>
      <w:r>
        <w:t xml:space="preserve">Zároveň by však z hlediska dlouhodobého fungování systému exekučního vymáhání pohledávek bylo nebezpečné podceňovat rizika narůstající ekonomické nestability exekutorských úřadů. </w:t>
      </w:r>
      <w:r w:rsidRPr="004D600F">
        <w:t>Věřitelé samozřejmě musí mít zájem na udržení jejich činnosti, neboť jen dobře fungující exekutorské úřady jsou zárukou efektivního procesu vymožení pohledávky. „</w:t>
      </w:r>
      <w:r w:rsidRPr="00C91E90">
        <w:rPr>
          <w:i/>
        </w:rPr>
        <w:t>Není však možné na jednu stranu vyžadovat, aby na ni věřitelé přispívali, a na druhou stranu opakovaně a zcela zás</w:t>
      </w:r>
      <w:r>
        <w:rPr>
          <w:i/>
        </w:rPr>
        <w:t>adně zasahovat do jejich práv a </w:t>
      </w:r>
      <w:r w:rsidRPr="00C91E90">
        <w:rPr>
          <w:i/>
        </w:rPr>
        <w:t>komplikovat již tak klesající vymahatelnost pohledávek,</w:t>
      </w:r>
      <w:r w:rsidRPr="00EE2835">
        <w:t xml:space="preserve">“ </w:t>
      </w:r>
      <w:r>
        <w:t xml:space="preserve">upozorňuje </w:t>
      </w:r>
      <w:r w:rsidRPr="00EE2835">
        <w:t>Staněk</w:t>
      </w:r>
      <w:r>
        <w:t>.</w:t>
      </w:r>
    </w:p>
    <w:p w:rsidR="0005111C" w:rsidRDefault="0005111C" w:rsidP="00092783">
      <w:pPr>
        <w:tabs>
          <w:tab w:val="num" w:pos="720"/>
        </w:tabs>
        <w:spacing w:after="120"/>
        <w:jc w:val="both"/>
      </w:pPr>
      <w:r w:rsidRPr="00A47059">
        <w:t>Rozhodne-li se stát vyžadovat po soukromých věřitelích, aby participovali na nákladech neúspěšných exekucí, potom by měl zároveň přijmout opatření, která z</w:t>
      </w:r>
      <w:r>
        <w:t xml:space="preserve">výší šanci na jejich úspěšnost a </w:t>
      </w:r>
      <w:r w:rsidRPr="00A47059">
        <w:t>celkově usnadní a zrychlí exekuční proces</w:t>
      </w:r>
      <w:r>
        <w:t>. „</w:t>
      </w:r>
      <w:r w:rsidRPr="00231D0E">
        <w:rPr>
          <w:i/>
        </w:rPr>
        <w:t xml:space="preserve">V případě, že je pohledávka nevymahatelná, by pak věřitel měl mít možnost rychlého odpisu dané pohledávky nebo </w:t>
      </w:r>
      <w:r>
        <w:rPr>
          <w:i/>
        </w:rPr>
        <w:t xml:space="preserve">třeba </w:t>
      </w:r>
      <w:r w:rsidRPr="00231D0E">
        <w:rPr>
          <w:i/>
        </w:rPr>
        <w:t>určitého daňového zvýhodnění, které by pro něj snížilo bolestivost této situace,</w:t>
      </w:r>
      <w:r>
        <w:t>“ dodává prezident České asociace věřitelů.</w:t>
      </w:r>
    </w:p>
    <w:p w:rsidR="0005111C" w:rsidRDefault="0005111C" w:rsidP="00C91E90">
      <w:pPr>
        <w:tabs>
          <w:tab w:val="num" w:pos="720"/>
        </w:tabs>
        <w:spacing w:after="120"/>
        <w:jc w:val="both"/>
      </w:pPr>
      <w:r>
        <w:t>Neudržitelná by pak pro věřitele byla situace, kdy by povinnost podílet se na náhradě nákladů exekučního řízení byla přijata společně se zavedením tzv. exekutorské teritoriality. „</w:t>
      </w:r>
      <w:r w:rsidRPr="00EB0DBF">
        <w:rPr>
          <w:i/>
        </w:rPr>
        <w:t xml:space="preserve">Věřitelé by si v takovém případě nemohli svobodně zvolit úřad, kterému svěří vymáhání svých pohledávek. I pokud by se službami soudem přiděleného </w:t>
      </w:r>
      <w:r>
        <w:rPr>
          <w:i/>
        </w:rPr>
        <w:t>exekutora</w:t>
      </w:r>
      <w:r w:rsidRPr="00EB0DBF">
        <w:rPr>
          <w:i/>
        </w:rPr>
        <w:t xml:space="preserve"> </w:t>
      </w:r>
      <w:r>
        <w:rPr>
          <w:i/>
        </w:rPr>
        <w:t xml:space="preserve">nebyli </w:t>
      </w:r>
      <w:r w:rsidRPr="00EB0DBF">
        <w:rPr>
          <w:i/>
        </w:rPr>
        <w:t xml:space="preserve">spokojeni, museli by </w:t>
      </w:r>
      <w:r>
        <w:rPr>
          <w:i/>
        </w:rPr>
        <w:t>fakticky i tak proti své vůli dotovat</w:t>
      </w:r>
      <w:r w:rsidRPr="00EB0DBF">
        <w:rPr>
          <w:i/>
        </w:rPr>
        <w:t xml:space="preserve"> jeho činnost</w:t>
      </w:r>
      <w:r>
        <w:t>,“ poukazuje Staněk na potenciální nespravedlnost.</w:t>
      </w:r>
    </w:p>
    <w:p w:rsidR="0005111C" w:rsidRDefault="0005111C" w:rsidP="00C91E90">
      <w:pPr>
        <w:tabs>
          <w:tab w:val="num" w:pos="720"/>
        </w:tabs>
        <w:spacing w:after="120"/>
        <w:jc w:val="both"/>
      </w:pPr>
      <w:r>
        <w:t>Velké riziko představuje i možné rozšíření dostupnosti osobního bankrotu. V takovém případě by totiž věřitel mnohdy zaplatil zálohu na exekuční vymáhání zcela zbytečně. Dojde-li k rozvolnění již nyní velmi mírných podmínek pro oddlužení a prodloužení jeho délky, bude uspokojení věřitelů, i s přihlédnutím ke klesající hodnotě peněz v čase, v budoucnu skutečně mizivé. To může být pro mnoho z nich likvidační a znamenat hrozbu pro celou ekonomiku.</w:t>
      </w:r>
    </w:p>
    <w:p w:rsidR="0005111C" w:rsidRDefault="0005111C" w:rsidP="003D54CC">
      <w:pPr>
        <w:tabs>
          <w:tab w:val="num" w:pos="720"/>
        </w:tabs>
        <w:spacing w:after="120"/>
        <w:jc w:val="both"/>
      </w:pPr>
    </w:p>
    <w:p w:rsidR="0005111C" w:rsidRDefault="0005111C" w:rsidP="003D54CC">
      <w:pPr>
        <w:tabs>
          <w:tab w:val="num" w:pos="720"/>
        </w:tabs>
        <w:spacing w:after="120"/>
        <w:jc w:val="both"/>
      </w:pPr>
    </w:p>
    <w:p w:rsidR="0005111C" w:rsidRDefault="0005111C" w:rsidP="003D54CC">
      <w:pPr>
        <w:tabs>
          <w:tab w:val="num" w:pos="720"/>
        </w:tabs>
        <w:spacing w:after="120"/>
        <w:jc w:val="both"/>
      </w:pPr>
    </w:p>
    <w:p w:rsidR="0005111C" w:rsidRDefault="0005111C" w:rsidP="003D54CC">
      <w:pPr>
        <w:tabs>
          <w:tab w:val="num" w:pos="720"/>
        </w:tabs>
        <w:spacing w:after="120"/>
        <w:jc w:val="both"/>
      </w:pPr>
    </w:p>
    <w:p w:rsidR="0005111C" w:rsidRPr="00AE1EC7" w:rsidRDefault="0005111C" w:rsidP="00F05E27">
      <w:pPr>
        <w:spacing w:after="60"/>
        <w:rPr>
          <w:b/>
          <w:sz w:val="24"/>
          <w:shd w:val="clear" w:color="auto" w:fill="FBFBFB"/>
        </w:rPr>
      </w:pPr>
      <w:r w:rsidRPr="00354287">
        <w:rPr>
          <w:b/>
          <w:sz w:val="24"/>
          <w:shd w:val="clear" w:color="auto" w:fill="FBFBFB"/>
        </w:rPr>
        <w:t>O České asociaci věřitelů</w:t>
      </w:r>
    </w:p>
    <w:p w:rsidR="0005111C" w:rsidRDefault="0005111C" w:rsidP="00F05E27">
      <w:pPr>
        <w:jc w:val="both"/>
        <w:rPr>
          <w:bCs/>
        </w:rPr>
      </w:pPr>
      <w:r>
        <w:t xml:space="preserve">Česká asociace věřitelů je sdružením </w:t>
      </w:r>
      <w:r w:rsidRPr="009907FD">
        <w:t xml:space="preserve">fyzických a právnických osob, jehož </w:t>
      </w:r>
      <w:r w:rsidRPr="00B043FA">
        <w:rPr>
          <w:b/>
        </w:rPr>
        <w:t>hlavním cílem je hájit zájmy věřitelských subjektů v České republice</w:t>
      </w:r>
      <w:r>
        <w:rPr>
          <w:shd w:val="clear" w:color="auto" w:fill="FFFFFF"/>
        </w:rPr>
        <w:t xml:space="preserve">. </w:t>
      </w:r>
      <w:r>
        <w:t xml:space="preserve">Byla založena 31. prosince </w:t>
      </w:r>
      <w:smartTag w:uri="urn:schemas-microsoft-com:office:smarttags" w:element="metricconverter">
        <w:smartTagPr>
          <w:attr w:name="ProductID" w:val="2013 a"/>
        </w:smartTagPr>
        <w:r>
          <w:t>2013 a</w:t>
        </w:r>
      </w:smartTag>
      <w:r>
        <w:t xml:space="preserve"> její </w:t>
      </w:r>
      <w:r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</w:t>
      </w:r>
      <w:r w:rsidRPr="00B043FA">
        <w:rPr>
          <w:shd w:val="clear" w:color="auto" w:fill="FFFFFF"/>
        </w:rPr>
        <w:t>ochrany oprávněných zájmů všech věřitelů</w:t>
      </w:r>
      <w:r w:rsidRPr="00B043FA">
        <w:rPr>
          <w:b/>
          <w:shd w:val="clear" w:color="auto" w:fill="FFFFFF"/>
        </w:rPr>
        <w:t xml:space="preserve"> bez ohledu na jejich profesní či oborové zaměření</w:t>
      </w:r>
      <w:r>
        <w:rPr>
          <w:shd w:val="clear" w:color="auto" w:fill="FFFFFF"/>
        </w:rPr>
        <w:t xml:space="preserve">. </w:t>
      </w:r>
      <w:r>
        <w:t>Tuto úlohu dílčím způsobem plnilo několik asociací, komor či</w:t>
      </w:r>
      <w:r w:rsidRPr="009907FD">
        <w:t xml:space="preserve"> zájmových sdružení, většinou </w:t>
      </w:r>
      <w:r>
        <w:t>se však jednalo</w:t>
      </w:r>
      <w:r w:rsidRPr="009907FD">
        <w:t xml:space="preserve"> o aktivity značně roztříštěné.</w:t>
      </w:r>
      <w:r>
        <w:t xml:space="preserve"> Záměrem České asociace věřitelů je chránit práva věřitelů </w:t>
      </w:r>
      <w:r w:rsidRPr="00B043FA">
        <w:rPr>
          <w:b/>
        </w:rPr>
        <w:t>nejen</w:t>
      </w:r>
      <w:r>
        <w:rPr>
          <w:b/>
        </w:rPr>
        <w:t xml:space="preserve"> z řad velkých institucí, ale i </w:t>
      </w:r>
      <w:r w:rsidRPr="00B043FA">
        <w:rPr>
          <w:b/>
        </w:rPr>
        <w:t>řadových občanů</w:t>
      </w:r>
      <w:r>
        <w:t xml:space="preserve">, přispívat ke </w:t>
      </w:r>
      <w:r w:rsidRPr="00B043FA">
        <w:rPr>
          <w:b/>
        </w:rPr>
        <w:t>zlepšení a zefektivnění právního systému</w:t>
      </w:r>
      <w:r>
        <w:t xml:space="preserve"> i </w:t>
      </w:r>
      <w:r w:rsidRPr="00B043FA">
        <w:rPr>
          <w:b/>
        </w:rPr>
        <w:t>celospolečenské osvětě</w:t>
      </w:r>
      <w:r>
        <w:t>, která povede ke spravedlivému uspořádání vztahů mezi věřiteli a dlužníky.</w:t>
      </w:r>
    </w:p>
    <w:p w:rsidR="0005111C" w:rsidRDefault="0005111C" w:rsidP="00F05E27">
      <w:pPr>
        <w:rPr>
          <w:bCs/>
        </w:rPr>
      </w:pPr>
      <w:r>
        <w:rPr>
          <w:bCs/>
        </w:rPr>
        <w:t xml:space="preserve">Více informací na </w:t>
      </w:r>
      <w:hyperlink r:id="rId7" w:history="1">
        <w:r w:rsidRPr="00692853">
          <w:rPr>
            <w:rStyle w:val="Hyperlink"/>
            <w:bCs/>
          </w:rPr>
          <w:t>www.asociaceveritelu.cz</w:t>
        </w:r>
      </w:hyperlink>
    </w:p>
    <w:p w:rsidR="0005111C" w:rsidRDefault="0005111C" w:rsidP="00F05E27">
      <w:pPr>
        <w:rPr>
          <w:bCs/>
        </w:rPr>
      </w:pPr>
    </w:p>
    <w:p w:rsidR="0005111C" w:rsidRDefault="0005111C" w:rsidP="00F05E27">
      <w:pPr>
        <w:rPr>
          <w:bCs/>
        </w:rPr>
      </w:pPr>
    </w:p>
    <w:p w:rsidR="0005111C" w:rsidRDefault="0005111C" w:rsidP="00F05E27">
      <w:pPr>
        <w:rPr>
          <w:bCs/>
        </w:rPr>
      </w:pPr>
    </w:p>
    <w:p w:rsidR="0005111C" w:rsidRPr="003E2304" w:rsidRDefault="0005111C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:rsidR="0005111C" w:rsidRPr="00BC3790" w:rsidRDefault="0005111C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smartTag w:uri="urn:schemas-microsoft-com:office:smarttags" w:element="PersonName">
        <w:smartTagPr>
          <w:attr w:name="ProductID" w:val="Alžběta Běličová"/>
        </w:smartTagPr>
        <w:r w:rsidRPr="00BC3790">
          <w:rPr>
            <w:rFonts w:cs="Arial"/>
            <w:bCs/>
            <w:szCs w:val="20"/>
          </w:rPr>
          <w:t>Alžběta Běličová</w:t>
        </w:r>
      </w:smartTag>
    </w:p>
    <w:p w:rsidR="0005111C" w:rsidRDefault="0005111C" w:rsidP="00F05E27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:rsidR="0005111C" w:rsidRPr="00AA698E" w:rsidRDefault="0005111C" w:rsidP="00F05E27">
      <w:r>
        <w:t xml:space="preserve">E-mail: </w:t>
      </w:r>
      <w:hyperlink r:id="rId8" w:history="1">
        <w:r w:rsidRPr="00602830">
          <w:rPr>
            <w:rStyle w:val="Hyperlink"/>
          </w:rPr>
          <w:t>media@asociaceveritelu.cz</w:t>
        </w:r>
      </w:hyperlink>
    </w:p>
    <w:p w:rsidR="0005111C" w:rsidRDefault="0005111C" w:rsidP="00F05E27">
      <w:pPr>
        <w:rPr>
          <w:bCs/>
        </w:rPr>
      </w:pPr>
      <w:r>
        <w:rPr>
          <w:bCs/>
        </w:rPr>
        <w:t>Telefon: +420 603 547 021</w:t>
      </w:r>
    </w:p>
    <w:p w:rsidR="0005111C" w:rsidRPr="00BC3790" w:rsidRDefault="0005111C" w:rsidP="00F05E27">
      <w:pPr>
        <w:rPr>
          <w:rFonts w:cs="Arial"/>
          <w:szCs w:val="20"/>
        </w:rPr>
      </w:pPr>
    </w:p>
    <w:p w:rsidR="0005111C" w:rsidRDefault="0005111C" w:rsidP="00831921">
      <w:pPr>
        <w:jc w:val="both"/>
      </w:pPr>
    </w:p>
    <w:sectPr w:rsidR="0005111C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11C" w:rsidRDefault="0005111C">
      <w:r>
        <w:separator/>
      </w:r>
    </w:p>
  </w:endnote>
  <w:endnote w:type="continuationSeparator" w:id="0">
    <w:p w:rsidR="0005111C" w:rsidRDefault="00051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11C" w:rsidRDefault="0005111C">
      <w:r>
        <w:separator/>
      </w:r>
    </w:p>
  </w:footnote>
  <w:footnote w:type="continuationSeparator" w:id="0">
    <w:p w:rsidR="0005111C" w:rsidRDefault="000511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11C" w:rsidRDefault="0005111C" w:rsidP="00F05E27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style="width:245.25pt;height:33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6B78"/>
    <w:rsid w:val="00002F20"/>
    <w:rsid w:val="00031493"/>
    <w:rsid w:val="0004067C"/>
    <w:rsid w:val="00043F3E"/>
    <w:rsid w:val="00046C14"/>
    <w:rsid w:val="0005111C"/>
    <w:rsid w:val="00063A7E"/>
    <w:rsid w:val="00076DD9"/>
    <w:rsid w:val="00092783"/>
    <w:rsid w:val="0009743F"/>
    <w:rsid w:val="000B5E1B"/>
    <w:rsid w:val="000C5F2F"/>
    <w:rsid w:val="000C7ABC"/>
    <w:rsid w:val="000D6EF4"/>
    <w:rsid w:val="000E254A"/>
    <w:rsid w:val="000E7F46"/>
    <w:rsid w:val="00111049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80E42"/>
    <w:rsid w:val="001819FA"/>
    <w:rsid w:val="0018378C"/>
    <w:rsid w:val="00191E5A"/>
    <w:rsid w:val="001B116C"/>
    <w:rsid w:val="001C1B55"/>
    <w:rsid w:val="001D0ED5"/>
    <w:rsid w:val="001D3601"/>
    <w:rsid w:val="001E482D"/>
    <w:rsid w:val="001F16E4"/>
    <w:rsid w:val="002029BA"/>
    <w:rsid w:val="00207EF4"/>
    <w:rsid w:val="00231D0E"/>
    <w:rsid w:val="002321E5"/>
    <w:rsid w:val="00233E0A"/>
    <w:rsid w:val="00234BE7"/>
    <w:rsid w:val="00247C45"/>
    <w:rsid w:val="00257956"/>
    <w:rsid w:val="0026435E"/>
    <w:rsid w:val="00292208"/>
    <w:rsid w:val="00293E46"/>
    <w:rsid w:val="002A1EB2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30EF7"/>
    <w:rsid w:val="00341A13"/>
    <w:rsid w:val="00341DBB"/>
    <w:rsid w:val="003474D6"/>
    <w:rsid w:val="00350A3F"/>
    <w:rsid w:val="00352292"/>
    <w:rsid w:val="00354287"/>
    <w:rsid w:val="00380F09"/>
    <w:rsid w:val="00393BB3"/>
    <w:rsid w:val="003A1E8B"/>
    <w:rsid w:val="003A38EC"/>
    <w:rsid w:val="003C1050"/>
    <w:rsid w:val="003D54CC"/>
    <w:rsid w:val="003E2304"/>
    <w:rsid w:val="003F3E5B"/>
    <w:rsid w:val="003F5E1F"/>
    <w:rsid w:val="004132F2"/>
    <w:rsid w:val="00413D6E"/>
    <w:rsid w:val="0042340D"/>
    <w:rsid w:val="00430DF3"/>
    <w:rsid w:val="004B06BE"/>
    <w:rsid w:val="004B3EBC"/>
    <w:rsid w:val="004B656D"/>
    <w:rsid w:val="004B68A2"/>
    <w:rsid w:val="004C5EF8"/>
    <w:rsid w:val="004D600F"/>
    <w:rsid w:val="004E07D9"/>
    <w:rsid w:val="004E3543"/>
    <w:rsid w:val="004F6A8D"/>
    <w:rsid w:val="00511A3E"/>
    <w:rsid w:val="005125C4"/>
    <w:rsid w:val="00516556"/>
    <w:rsid w:val="00517E9A"/>
    <w:rsid w:val="005202D9"/>
    <w:rsid w:val="00533A1B"/>
    <w:rsid w:val="005649FC"/>
    <w:rsid w:val="00586487"/>
    <w:rsid w:val="00591CF4"/>
    <w:rsid w:val="005934B2"/>
    <w:rsid w:val="005A3231"/>
    <w:rsid w:val="005A5F59"/>
    <w:rsid w:val="005C2D0D"/>
    <w:rsid w:val="005E7A11"/>
    <w:rsid w:val="005F7BCC"/>
    <w:rsid w:val="00602830"/>
    <w:rsid w:val="00603A85"/>
    <w:rsid w:val="00611860"/>
    <w:rsid w:val="00611A87"/>
    <w:rsid w:val="0061791F"/>
    <w:rsid w:val="00630381"/>
    <w:rsid w:val="00640B9A"/>
    <w:rsid w:val="006535C2"/>
    <w:rsid w:val="00663B84"/>
    <w:rsid w:val="006665E4"/>
    <w:rsid w:val="0068662C"/>
    <w:rsid w:val="00692853"/>
    <w:rsid w:val="00695E2B"/>
    <w:rsid w:val="00697993"/>
    <w:rsid w:val="006B71CB"/>
    <w:rsid w:val="006C7949"/>
    <w:rsid w:val="006D01EF"/>
    <w:rsid w:val="006D0F2E"/>
    <w:rsid w:val="006E07A6"/>
    <w:rsid w:val="006E4359"/>
    <w:rsid w:val="006F365F"/>
    <w:rsid w:val="006F6245"/>
    <w:rsid w:val="0072783C"/>
    <w:rsid w:val="00764B84"/>
    <w:rsid w:val="00766555"/>
    <w:rsid w:val="00771FFB"/>
    <w:rsid w:val="007D284E"/>
    <w:rsid w:val="007F09D1"/>
    <w:rsid w:val="00803576"/>
    <w:rsid w:val="008045BB"/>
    <w:rsid w:val="008121CF"/>
    <w:rsid w:val="00830B1A"/>
    <w:rsid w:val="00830C47"/>
    <w:rsid w:val="00831921"/>
    <w:rsid w:val="00853F5B"/>
    <w:rsid w:val="00857E3D"/>
    <w:rsid w:val="008676E3"/>
    <w:rsid w:val="00871427"/>
    <w:rsid w:val="00881B90"/>
    <w:rsid w:val="00893588"/>
    <w:rsid w:val="008A0E74"/>
    <w:rsid w:val="008A7ACF"/>
    <w:rsid w:val="008B2015"/>
    <w:rsid w:val="008B5A97"/>
    <w:rsid w:val="008C6CD4"/>
    <w:rsid w:val="008D3859"/>
    <w:rsid w:val="008E5A88"/>
    <w:rsid w:val="008E6308"/>
    <w:rsid w:val="00901CFF"/>
    <w:rsid w:val="009225BA"/>
    <w:rsid w:val="00934B9F"/>
    <w:rsid w:val="0094098B"/>
    <w:rsid w:val="009450AC"/>
    <w:rsid w:val="00960F30"/>
    <w:rsid w:val="009667A1"/>
    <w:rsid w:val="00966B78"/>
    <w:rsid w:val="0098499E"/>
    <w:rsid w:val="00987BBC"/>
    <w:rsid w:val="009907FD"/>
    <w:rsid w:val="00993AF2"/>
    <w:rsid w:val="009956EE"/>
    <w:rsid w:val="009B1DB7"/>
    <w:rsid w:val="009C0413"/>
    <w:rsid w:val="009C15EA"/>
    <w:rsid w:val="009C2A8D"/>
    <w:rsid w:val="009E163F"/>
    <w:rsid w:val="009F2210"/>
    <w:rsid w:val="009F39DB"/>
    <w:rsid w:val="009F7ABC"/>
    <w:rsid w:val="00A06390"/>
    <w:rsid w:val="00A47059"/>
    <w:rsid w:val="00A47EDD"/>
    <w:rsid w:val="00A649DB"/>
    <w:rsid w:val="00A714CE"/>
    <w:rsid w:val="00A74FB8"/>
    <w:rsid w:val="00A75391"/>
    <w:rsid w:val="00A76BB3"/>
    <w:rsid w:val="00A80106"/>
    <w:rsid w:val="00A84492"/>
    <w:rsid w:val="00A872AB"/>
    <w:rsid w:val="00A87874"/>
    <w:rsid w:val="00AA698E"/>
    <w:rsid w:val="00AA6A01"/>
    <w:rsid w:val="00AB7049"/>
    <w:rsid w:val="00AB7CF6"/>
    <w:rsid w:val="00AB7D9A"/>
    <w:rsid w:val="00AD56E9"/>
    <w:rsid w:val="00AD7EB4"/>
    <w:rsid w:val="00AE1EC7"/>
    <w:rsid w:val="00B043FA"/>
    <w:rsid w:val="00B06560"/>
    <w:rsid w:val="00B26121"/>
    <w:rsid w:val="00B3498C"/>
    <w:rsid w:val="00B3503E"/>
    <w:rsid w:val="00B7169B"/>
    <w:rsid w:val="00B974C8"/>
    <w:rsid w:val="00BB2297"/>
    <w:rsid w:val="00BB2A8D"/>
    <w:rsid w:val="00BC3790"/>
    <w:rsid w:val="00BC47DD"/>
    <w:rsid w:val="00BC4D03"/>
    <w:rsid w:val="00BF3F14"/>
    <w:rsid w:val="00BF78EC"/>
    <w:rsid w:val="00C37368"/>
    <w:rsid w:val="00C376C1"/>
    <w:rsid w:val="00C52657"/>
    <w:rsid w:val="00C52DF1"/>
    <w:rsid w:val="00C54B20"/>
    <w:rsid w:val="00C754B4"/>
    <w:rsid w:val="00C76335"/>
    <w:rsid w:val="00C77EED"/>
    <w:rsid w:val="00C85AD9"/>
    <w:rsid w:val="00C91E90"/>
    <w:rsid w:val="00CB2362"/>
    <w:rsid w:val="00CB3ABB"/>
    <w:rsid w:val="00CC24F9"/>
    <w:rsid w:val="00CD1EF9"/>
    <w:rsid w:val="00D0322B"/>
    <w:rsid w:val="00D07B88"/>
    <w:rsid w:val="00D07F02"/>
    <w:rsid w:val="00D138FB"/>
    <w:rsid w:val="00D41F42"/>
    <w:rsid w:val="00D46AFD"/>
    <w:rsid w:val="00D46E2A"/>
    <w:rsid w:val="00D723F3"/>
    <w:rsid w:val="00D80180"/>
    <w:rsid w:val="00D84BA1"/>
    <w:rsid w:val="00D96BD9"/>
    <w:rsid w:val="00DD2083"/>
    <w:rsid w:val="00DD458A"/>
    <w:rsid w:val="00DE350D"/>
    <w:rsid w:val="00DF434B"/>
    <w:rsid w:val="00DF4AC3"/>
    <w:rsid w:val="00DF745E"/>
    <w:rsid w:val="00E00CAE"/>
    <w:rsid w:val="00E07E2D"/>
    <w:rsid w:val="00E24883"/>
    <w:rsid w:val="00E33266"/>
    <w:rsid w:val="00E345EC"/>
    <w:rsid w:val="00E3694B"/>
    <w:rsid w:val="00E40A4A"/>
    <w:rsid w:val="00E43B56"/>
    <w:rsid w:val="00E660EA"/>
    <w:rsid w:val="00E80C2C"/>
    <w:rsid w:val="00E928F5"/>
    <w:rsid w:val="00E93DE0"/>
    <w:rsid w:val="00EB0A48"/>
    <w:rsid w:val="00EB0DBF"/>
    <w:rsid w:val="00EB6212"/>
    <w:rsid w:val="00EB6422"/>
    <w:rsid w:val="00EB7EF1"/>
    <w:rsid w:val="00ED00DC"/>
    <w:rsid w:val="00ED147E"/>
    <w:rsid w:val="00EE2835"/>
    <w:rsid w:val="00F05E27"/>
    <w:rsid w:val="00F07852"/>
    <w:rsid w:val="00F248A6"/>
    <w:rsid w:val="00F34DE1"/>
    <w:rsid w:val="00F3730A"/>
    <w:rsid w:val="00F450E3"/>
    <w:rsid w:val="00F4747A"/>
    <w:rsid w:val="00F54EBA"/>
    <w:rsid w:val="00F705A8"/>
    <w:rsid w:val="00F82AC0"/>
    <w:rsid w:val="00F855DC"/>
    <w:rsid w:val="00F97044"/>
    <w:rsid w:val="00FA2C88"/>
    <w:rsid w:val="00FC04C4"/>
    <w:rsid w:val="00FC23AE"/>
    <w:rsid w:val="00FD03B8"/>
    <w:rsid w:val="00FE2447"/>
    <w:rsid w:val="00FE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7D"/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8045BB"/>
    <w:pPr>
      <w:ind w:left="720"/>
    </w:pPr>
    <w:rPr>
      <w:szCs w:val="22"/>
      <w:lang w:eastAsia="en-US"/>
    </w:rPr>
  </w:style>
  <w:style w:type="character" w:styleId="Hyperlink">
    <w:name w:val="Hyperlink"/>
    <w:basedOn w:val="DefaultParagraphFont"/>
    <w:uiPriority w:val="99"/>
    <w:rsid w:val="00F05E2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14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D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24F9"/>
    <w:rPr>
      <w:rFonts w:cs="Times New Roman"/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mailStyle25">
    <w:name w:val="EmailStyle25"/>
    <w:basedOn w:val="DefaultParagraphFont"/>
    <w:uiPriority w:val="99"/>
    <w:semiHidden/>
    <w:rsid w:val="002F66C2"/>
    <w:rPr>
      <w:rFonts w:ascii="Arial" w:hAnsi="Arial" w:cs="Arial"/>
      <w:color w:val="aut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1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asociaceveritelu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ociaceveritel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669</Words>
  <Characters>3948</Characters>
  <Application>Microsoft Office Outlook</Application>
  <DocSecurity>0</DocSecurity>
  <Lines>0</Lines>
  <Paragraphs>0</Paragraphs>
  <ScaleCrop>false</ScaleCrop>
  <Company>GOPAS,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subject/>
  <dc:creator>xxx</dc:creator>
  <cp:keywords/>
  <dc:description/>
  <cp:lastModifiedBy>xxx</cp:lastModifiedBy>
  <cp:revision>6</cp:revision>
  <dcterms:created xsi:type="dcterms:W3CDTF">2016-03-01T09:14:00Z</dcterms:created>
  <dcterms:modified xsi:type="dcterms:W3CDTF">2016-03-01T13:56:00Z</dcterms:modified>
</cp:coreProperties>
</file>