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98B" w:rsidRPr="002A1EB2" w:rsidRDefault="0094098B" w:rsidP="0098499E">
      <w:pPr>
        <w:spacing w:after="480" w:line="280" w:lineRule="atLeast"/>
        <w:rPr>
          <w:rFonts w:cs="Arial"/>
          <w:i/>
          <w:szCs w:val="20"/>
        </w:rPr>
      </w:pPr>
      <w:r>
        <w:rPr>
          <w:rFonts w:cs="Arial"/>
          <w:i/>
          <w:szCs w:val="20"/>
        </w:rPr>
        <w:t>Tisková zpráva, 12</w:t>
      </w:r>
      <w:r w:rsidRPr="002A1EB2">
        <w:rPr>
          <w:rFonts w:cs="Arial"/>
          <w:i/>
          <w:szCs w:val="20"/>
        </w:rPr>
        <w:t xml:space="preserve">. </w:t>
      </w:r>
      <w:r>
        <w:rPr>
          <w:rFonts w:cs="Arial"/>
          <w:i/>
          <w:szCs w:val="20"/>
        </w:rPr>
        <w:t>května</w:t>
      </w:r>
      <w:r w:rsidRPr="002A1EB2">
        <w:rPr>
          <w:rFonts w:cs="Arial"/>
          <w:i/>
          <w:szCs w:val="20"/>
        </w:rPr>
        <w:t xml:space="preserve"> 2014</w:t>
      </w:r>
      <w:bookmarkStart w:id="0" w:name="_GoBack"/>
      <w:bookmarkEnd w:id="0"/>
    </w:p>
    <w:p w:rsidR="0094098B" w:rsidRPr="005202D9" w:rsidRDefault="0094098B" w:rsidP="00FC04C4">
      <w:pPr>
        <w:spacing w:after="120"/>
        <w:jc w:val="both"/>
        <w:rPr>
          <w:b/>
          <w:sz w:val="34"/>
          <w:szCs w:val="34"/>
        </w:rPr>
      </w:pPr>
      <w:r w:rsidRPr="005202D9">
        <w:rPr>
          <w:b/>
          <w:sz w:val="34"/>
          <w:szCs w:val="34"/>
        </w:rPr>
        <w:t>Česká asociace věřitelů odmítá za</w:t>
      </w:r>
      <w:r>
        <w:rPr>
          <w:b/>
          <w:sz w:val="34"/>
          <w:szCs w:val="34"/>
        </w:rPr>
        <w:t>vedení principu teritoriality v </w:t>
      </w:r>
      <w:r w:rsidRPr="005202D9">
        <w:rPr>
          <w:b/>
          <w:sz w:val="34"/>
          <w:szCs w:val="34"/>
        </w:rPr>
        <w:t>exekučním řízení</w:t>
      </w:r>
    </w:p>
    <w:p w:rsidR="0094098B" w:rsidRPr="00180E42" w:rsidRDefault="0094098B" w:rsidP="00FC04C4">
      <w:pPr>
        <w:spacing w:after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Navrhovaná změna povede k výraznému snížení vymahatelnosti pohledávek a nárůstu nákladů věřitelů</w:t>
      </w:r>
    </w:p>
    <w:p w:rsidR="0094098B" w:rsidRPr="002F7D8A" w:rsidRDefault="0094098B" w:rsidP="001819FA">
      <w:pPr>
        <w:spacing w:after="120"/>
        <w:jc w:val="both"/>
        <w:rPr>
          <w:b/>
        </w:rPr>
      </w:pPr>
      <w:r>
        <w:rPr>
          <w:b/>
        </w:rPr>
        <w:t xml:space="preserve">Česká asociace věřitelů důrazně nesouhlasí s přijetím novely exekučního řádu navrhované skupinou poslanců v čele s Markem Černochem (Úsvit), která má nahradit dosavadní celorepublikovou působnost exekutorských úřadů principem krajské teritoriality. Navrhovaná změna zásadně poškodí věřitele v České republice, neboť jim odebere právo svobodné volby </w:t>
      </w:r>
      <w:r w:rsidRPr="002F7D8A">
        <w:rPr>
          <w:b/>
        </w:rPr>
        <w:t xml:space="preserve">exekutora, způsobí významné snížení vymahatelnosti pohledávek a zároveň zvýšení souvisejících </w:t>
      </w:r>
      <w:r>
        <w:rPr>
          <w:b/>
        </w:rPr>
        <w:t xml:space="preserve">administrativních </w:t>
      </w:r>
      <w:r w:rsidRPr="002F7D8A">
        <w:rPr>
          <w:b/>
        </w:rPr>
        <w:t>nákladů.</w:t>
      </w:r>
    </w:p>
    <w:p w:rsidR="0094098B" w:rsidRDefault="0094098B" w:rsidP="001819FA">
      <w:pPr>
        <w:spacing w:after="120"/>
        <w:jc w:val="both"/>
      </w:pPr>
      <w:r>
        <w:t xml:space="preserve">Princip teritoriality významně ohrožuje vymahatelnost pohledávek v České republice, která dnes </w:t>
      </w:r>
      <w:r w:rsidRPr="009F39DB">
        <w:t xml:space="preserve">dosahuje asi 40 %. V případě jeho </w:t>
      </w:r>
      <w:r>
        <w:t>zavedení</w:t>
      </w:r>
      <w:r w:rsidRPr="009F39DB">
        <w:t xml:space="preserve"> lze podle České asociace věřitelů očekávat výrazný propad vymahatelnosti blížící se stavu před rokem 2001, kdy byla vymahatelná pouhá 3 % pohledávek.</w:t>
      </w:r>
      <w:r>
        <w:t xml:space="preserve"> „</w:t>
      </w:r>
      <w:r w:rsidRPr="00ED147E">
        <w:rPr>
          <w:i/>
        </w:rPr>
        <w:t xml:space="preserve">Stabilní nápad exekucí na jednotlivé </w:t>
      </w:r>
      <w:r>
        <w:rPr>
          <w:i/>
        </w:rPr>
        <w:t xml:space="preserve">exekutorské </w:t>
      </w:r>
      <w:r w:rsidRPr="00ED147E">
        <w:rPr>
          <w:i/>
        </w:rPr>
        <w:t xml:space="preserve">úřady bez ohledu na </w:t>
      </w:r>
      <w:r>
        <w:rPr>
          <w:i/>
        </w:rPr>
        <w:t>jejich úspěšnost a </w:t>
      </w:r>
      <w:r w:rsidRPr="00ED147E">
        <w:rPr>
          <w:i/>
        </w:rPr>
        <w:t xml:space="preserve">kvalitu služeb </w:t>
      </w:r>
      <w:r>
        <w:rPr>
          <w:i/>
        </w:rPr>
        <w:t>může vést</w:t>
      </w:r>
      <w:r w:rsidRPr="00ED147E">
        <w:rPr>
          <w:i/>
        </w:rPr>
        <w:t xml:space="preserve"> ke snížení zainteresovanosti exekutorů na výsledku a </w:t>
      </w:r>
      <w:r>
        <w:rPr>
          <w:i/>
        </w:rPr>
        <w:t xml:space="preserve">tím k </w:t>
      </w:r>
      <w:r w:rsidRPr="00ED147E">
        <w:rPr>
          <w:i/>
        </w:rPr>
        <w:t>jejich pasivitě</w:t>
      </w:r>
      <w:r>
        <w:t xml:space="preserve">,“ zdůvodňuje pokles vymahatelnosti JUDr. </w:t>
      </w:r>
      <w:smartTag w:uri="urn:schemas-microsoft-com:office:smarttags" w:element="PersonName">
        <w:smartTagPr>
          <w:attr w:name="ProductID" w:val="Pavel Staněk,"/>
        </w:smartTagPr>
        <w:r>
          <w:t>Pavel Staněk,</w:t>
        </w:r>
      </w:smartTag>
      <w:r>
        <w:t xml:space="preserve"> prezident České asociace věřitelů. „</w:t>
      </w:r>
      <w:r w:rsidRPr="00ED147E">
        <w:rPr>
          <w:i/>
        </w:rPr>
        <w:t xml:space="preserve">Jednotlivé exekutorské úřady </w:t>
      </w:r>
      <w:r>
        <w:rPr>
          <w:i/>
        </w:rPr>
        <w:t>rozhodně</w:t>
      </w:r>
      <w:r w:rsidRPr="00ED147E">
        <w:rPr>
          <w:i/>
        </w:rPr>
        <w:t xml:space="preserve"> nedosahují stejné úrovně úspěšnosti a neposkytují služby stejné kvality. </w:t>
      </w:r>
      <w:r>
        <w:rPr>
          <w:i/>
        </w:rPr>
        <w:t xml:space="preserve">Některé úřady již nyní například nejsou zařízené na provádění exekucí většího rozsahu, zejména těch mobiliárních. </w:t>
      </w:r>
      <w:r w:rsidRPr="00ED147E">
        <w:rPr>
          <w:i/>
        </w:rPr>
        <w:t xml:space="preserve">Věřitelům proto nelze </w:t>
      </w:r>
      <w:r>
        <w:rPr>
          <w:i/>
        </w:rPr>
        <w:t>upřít</w:t>
      </w:r>
      <w:r w:rsidRPr="00ED147E">
        <w:rPr>
          <w:i/>
        </w:rPr>
        <w:t xml:space="preserve"> právo svobodné volby exekutora</w:t>
      </w:r>
      <w:r>
        <w:rPr>
          <w:i/>
        </w:rPr>
        <w:t xml:space="preserve"> a vnucovat jim spolupráci s teritoriálně přidělenými úřady, přestože s jejich výkonem nejsou spokojeni</w:t>
      </w:r>
      <w:r>
        <w:t>,“ doplňuje Staněk. Ani v současnosti kvalitně vybavené úřady nebudou při průměrném zpracování 4 </w:t>
      </w:r>
      <w:r w:rsidRPr="00C54B20">
        <w:t xml:space="preserve">500 exekučních návrhů ročně schopny udržet tým a zázemí pro </w:t>
      </w:r>
      <w:r>
        <w:t xml:space="preserve">budoucí rozsáhlejší </w:t>
      </w:r>
      <w:r w:rsidRPr="00C54B20">
        <w:t>exekuc</w:t>
      </w:r>
      <w:r>
        <w:t>e.</w:t>
      </w:r>
    </w:p>
    <w:p w:rsidR="0094098B" w:rsidRDefault="0094098B" w:rsidP="003D54CC">
      <w:pPr>
        <w:spacing w:after="120"/>
        <w:jc w:val="both"/>
      </w:pPr>
      <w:r>
        <w:t>Za zcela nepřijatelnou považuje Česká asociace věřitelů také skutečnost, že by přidělováním exekucí podle sídla zadlužené společnosti nebo adresy trvalého pobytu dlužníka volba exekutora de facto připadla povinnému. „</w:t>
      </w:r>
      <w:r w:rsidRPr="003D54CC">
        <w:rPr>
          <w:i/>
        </w:rPr>
        <w:t xml:space="preserve">Ten by </w:t>
      </w:r>
      <w:r>
        <w:rPr>
          <w:i/>
        </w:rPr>
        <w:t xml:space="preserve">následně mohl </w:t>
      </w:r>
      <w:r w:rsidRPr="003D54CC">
        <w:rPr>
          <w:i/>
        </w:rPr>
        <w:t>opakovanými změnami záměrně prodlužovat výkon exekuce</w:t>
      </w:r>
      <w:r>
        <w:rPr>
          <w:i/>
        </w:rPr>
        <w:t xml:space="preserve"> nebo přesunout adresu svého </w:t>
      </w:r>
      <w:r w:rsidRPr="003D54CC">
        <w:rPr>
          <w:i/>
        </w:rPr>
        <w:t>trvalého pobytu do místa s nízkou úspěšností vymáhání</w:t>
      </w:r>
      <w:r>
        <w:t>,“ upozorňuje Staněk na riziko vzniku tzv. exekučních rájů.</w:t>
      </w:r>
    </w:p>
    <w:p w:rsidR="0094098B" w:rsidRDefault="0094098B" w:rsidP="003D54CC">
      <w:pPr>
        <w:tabs>
          <w:tab w:val="num" w:pos="720"/>
        </w:tabs>
        <w:spacing w:after="120"/>
        <w:jc w:val="both"/>
      </w:pPr>
      <w:r w:rsidRPr="009F39DB">
        <w:t>Podle České asociace věřitelů by zavedení principu teritoriality rozhodně nepřispělo ani k zam</w:t>
      </w:r>
      <w:r>
        <w:t>ý</w:t>
      </w:r>
      <w:r w:rsidRPr="009F39DB">
        <w:t>š</w:t>
      </w:r>
      <w:r>
        <w:softHyphen/>
      </w:r>
      <w:r w:rsidRPr="009F39DB">
        <w:t>lenému snížení nákladů exekuce. „</w:t>
      </w:r>
      <w:r w:rsidRPr="009F39DB">
        <w:rPr>
          <w:i/>
        </w:rPr>
        <w:t>Výpočet odměny exekutora je dnes jasně stanoven Exekutorským tarifem. Nelze očekávat ani domnělé snížení cestovních výdajů, protože výše jejich náhrad je již nyní limitována maximální částkou 1 500 korun. Kromě toho se dlužník velmi často nenachází v místě svého trvalého pobytu nebo sídla firmy a své bydliště může v průběhu exekučního</w:t>
      </w:r>
      <w:r w:rsidRPr="00881B90">
        <w:rPr>
          <w:i/>
        </w:rPr>
        <w:t xml:space="preserve"> řízení </w:t>
      </w:r>
      <w:r>
        <w:rPr>
          <w:i/>
        </w:rPr>
        <w:t>libovolně měnit</w:t>
      </w:r>
      <w:r>
        <w:t>,“ upozorňuje Staněk. Věřitelům naopak p</w:t>
      </w:r>
      <w:r w:rsidRPr="003D54CC">
        <w:t>ovinnost komunikovat s</w:t>
      </w:r>
      <w:r>
        <w:t xml:space="preserve"> více než 150 </w:t>
      </w:r>
      <w:r w:rsidRPr="003D54CC">
        <w:t xml:space="preserve">exekutorskými úřady současně </w:t>
      </w:r>
      <w:r>
        <w:t xml:space="preserve">přinese další </w:t>
      </w:r>
      <w:r w:rsidRPr="003D54CC">
        <w:t>administrativní zátěž, která se odrazí v jejich nákladech</w:t>
      </w:r>
      <w:r>
        <w:t>. „</w:t>
      </w:r>
      <w:r>
        <w:rPr>
          <w:i/>
        </w:rPr>
        <w:t>Velcí věřitelé v </w:t>
      </w:r>
      <w:r w:rsidRPr="00A872AB">
        <w:rPr>
          <w:i/>
        </w:rPr>
        <w:t xml:space="preserve">současnosti komunikují pouze s několika </w:t>
      </w:r>
      <w:r>
        <w:rPr>
          <w:i/>
        </w:rPr>
        <w:t>vybranými</w:t>
      </w:r>
      <w:r w:rsidRPr="00A872AB">
        <w:rPr>
          <w:i/>
        </w:rPr>
        <w:t xml:space="preserve"> úřady, které jim kromě </w:t>
      </w:r>
      <w:r>
        <w:rPr>
          <w:i/>
        </w:rPr>
        <w:t xml:space="preserve">vysoké </w:t>
      </w:r>
      <w:r w:rsidRPr="00A872AB">
        <w:rPr>
          <w:i/>
        </w:rPr>
        <w:t xml:space="preserve">efektivity vymáhání </w:t>
      </w:r>
      <w:r>
        <w:rPr>
          <w:i/>
        </w:rPr>
        <w:t>zajišťují</w:t>
      </w:r>
      <w:r w:rsidRPr="00A872AB">
        <w:rPr>
          <w:i/>
        </w:rPr>
        <w:t xml:space="preserve"> i další služby, například online přístup do informačního systému úřadu nebo individuální reporting. V případě přijetí principu teritoriality o tyto nadstan</w:t>
      </w:r>
      <w:r>
        <w:rPr>
          <w:i/>
        </w:rPr>
        <w:t>dardní služby přijdou. N</w:t>
      </w:r>
      <w:r w:rsidRPr="00A872AB">
        <w:rPr>
          <w:i/>
        </w:rPr>
        <w:t>avíc budou muset komunikovat</w:t>
      </w:r>
      <w:r>
        <w:rPr>
          <w:i/>
        </w:rPr>
        <w:t xml:space="preserve"> i se všemi 156 úřady zároveň</w:t>
      </w:r>
      <w:r w:rsidRPr="00A872AB">
        <w:rPr>
          <w:i/>
        </w:rPr>
        <w:t>, což výrazně zvýší jejich interní náklady</w:t>
      </w:r>
      <w:r>
        <w:t xml:space="preserve">,“ varuje prezident České asociace věřitelů. K uvedeným administrativním nákladům je pak samozřejmě nutné </w:t>
      </w:r>
      <w:r w:rsidRPr="009F39DB">
        <w:t>připočítat ještě ztrátu plynoucí z nevymožených pohledávek samotných, která částku navýší o další miliardy korun.</w:t>
      </w:r>
    </w:p>
    <w:p w:rsidR="0094098B" w:rsidRDefault="0094098B" w:rsidP="003D54CC">
      <w:pPr>
        <w:tabs>
          <w:tab w:val="num" w:pos="720"/>
        </w:tabs>
        <w:spacing w:after="120"/>
        <w:jc w:val="both"/>
      </w:pPr>
    </w:p>
    <w:p w:rsidR="0094098B" w:rsidRPr="009F39DB" w:rsidRDefault="0094098B" w:rsidP="003D54CC">
      <w:pPr>
        <w:tabs>
          <w:tab w:val="num" w:pos="720"/>
        </w:tabs>
        <w:spacing w:after="120"/>
        <w:jc w:val="both"/>
      </w:pPr>
    </w:p>
    <w:p w:rsidR="0094098B" w:rsidRPr="00AE1EC7" w:rsidRDefault="0094098B" w:rsidP="00F05E27">
      <w:pPr>
        <w:spacing w:after="60"/>
        <w:rPr>
          <w:b/>
          <w:sz w:val="24"/>
          <w:shd w:val="clear" w:color="auto" w:fill="FBFBFB"/>
        </w:rPr>
      </w:pPr>
      <w:r>
        <w:rPr>
          <w:b/>
          <w:sz w:val="24"/>
          <w:shd w:val="clear" w:color="auto" w:fill="FBFBFB"/>
        </w:rPr>
        <w:t>O Č</w:t>
      </w:r>
      <w:r w:rsidRPr="00AE1EC7">
        <w:rPr>
          <w:b/>
          <w:sz w:val="24"/>
          <w:shd w:val="clear" w:color="auto" w:fill="FBFBFB"/>
        </w:rPr>
        <w:t>eské asociaci věřitelů</w:t>
      </w:r>
    </w:p>
    <w:p w:rsidR="0094098B" w:rsidRDefault="0094098B" w:rsidP="00F05E27">
      <w:pPr>
        <w:jc w:val="both"/>
        <w:rPr>
          <w:bCs/>
        </w:rPr>
      </w:pPr>
      <w:r>
        <w:t xml:space="preserve">Česká asociace věřitelů je sdružením </w:t>
      </w:r>
      <w:r w:rsidRPr="009907FD">
        <w:t xml:space="preserve">fyzických a právnických osob, jehož </w:t>
      </w:r>
      <w:r w:rsidRPr="00B043FA">
        <w:rPr>
          <w:b/>
        </w:rPr>
        <w:t>hlavním cílem je hájit zájmy věřitelských subjektů v České republice</w:t>
      </w:r>
      <w:r>
        <w:rPr>
          <w:shd w:val="clear" w:color="auto" w:fill="FFFFFF"/>
        </w:rPr>
        <w:t xml:space="preserve">. </w:t>
      </w:r>
      <w:r>
        <w:t xml:space="preserve">Byla založena 31. prosince </w:t>
      </w:r>
      <w:smartTag w:uri="urn:schemas-microsoft-com:office:smarttags" w:element="metricconverter">
        <w:smartTagPr>
          <w:attr w:name="ProductID" w:val="2013 a"/>
        </w:smartTagPr>
        <w:r>
          <w:t>2013 a</w:t>
        </w:r>
      </w:smartTag>
      <w:r>
        <w:t xml:space="preserve"> její </w:t>
      </w:r>
      <w:r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</w:t>
      </w:r>
      <w:r w:rsidRPr="00B043FA">
        <w:rPr>
          <w:shd w:val="clear" w:color="auto" w:fill="FFFFFF"/>
        </w:rPr>
        <w:t>ochrany oprávněných zájmů všech věřitelů</w:t>
      </w:r>
      <w:r w:rsidRPr="00B043FA">
        <w:rPr>
          <w:b/>
          <w:shd w:val="clear" w:color="auto" w:fill="FFFFFF"/>
        </w:rPr>
        <w:t xml:space="preserve"> bez ohledu na jejich profesní či oborové zaměření</w:t>
      </w:r>
      <w:r>
        <w:rPr>
          <w:shd w:val="clear" w:color="auto" w:fill="FFFFFF"/>
        </w:rPr>
        <w:t xml:space="preserve">. </w:t>
      </w:r>
      <w:r>
        <w:t>Tuto úlohu dílčím způsobem plnilo několik asociací, komor či</w:t>
      </w:r>
      <w:r w:rsidRPr="009907FD">
        <w:t xml:space="preserve"> zájmových sdružení, většinou </w:t>
      </w:r>
      <w:r>
        <w:t>se však jednalo</w:t>
      </w:r>
      <w:r w:rsidRPr="009907FD">
        <w:t xml:space="preserve"> o aktivity značně roztříštěné.</w:t>
      </w:r>
      <w:r>
        <w:t xml:space="preserve"> Záměrem České asociace věřitelů je chránit práva věřitelů </w:t>
      </w:r>
      <w:r w:rsidRPr="00B043FA">
        <w:rPr>
          <w:b/>
        </w:rPr>
        <w:t>nejen</w:t>
      </w:r>
      <w:r>
        <w:rPr>
          <w:b/>
        </w:rPr>
        <w:t xml:space="preserve"> z řad velkých institucí, ale i </w:t>
      </w:r>
      <w:r w:rsidRPr="00B043FA">
        <w:rPr>
          <w:b/>
        </w:rPr>
        <w:t>řadových občanů</w:t>
      </w:r>
      <w:r>
        <w:t xml:space="preserve">, přispívat ke </w:t>
      </w:r>
      <w:r w:rsidRPr="00B043FA">
        <w:rPr>
          <w:b/>
        </w:rPr>
        <w:t>zlepšení a zefektivnění právního systému</w:t>
      </w:r>
      <w:r>
        <w:t xml:space="preserve"> i </w:t>
      </w:r>
      <w:r w:rsidRPr="00B043FA">
        <w:rPr>
          <w:b/>
        </w:rPr>
        <w:t>celospolečenské osvětě</w:t>
      </w:r>
      <w:r>
        <w:t>, která povede ke spravedlivému uspořádání vztahů mezi věřiteli a dlužníky.</w:t>
      </w:r>
    </w:p>
    <w:p w:rsidR="0094098B" w:rsidRDefault="0094098B" w:rsidP="00F05E27">
      <w:pPr>
        <w:rPr>
          <w:bCs/>
        </w:rPr>
      </w:pPr>
      <w:r>
        <w:rPr>
          <w:bCs/>
        </w:rPr>
        <w:t xml:space="preserve">Více informací na </w:t>
      </w:r>
      <w:hyperlink r:id="rId7" w:history="1">
        <w:r w:rsidRPr="00692853">
          <w:rPr>
            <w:rStyle w:val="Hyperlink"/>
            <w:bCs/>
          </w:rPr>
          <w:t>www.asociaceveritelu.cz</w:t>
        </w:r>
      </w:hyperlink>
    </w:p>
    <w:p w:rsidR="0094098B" w:rsidRDefault="0094098B" w:rsidP="00F05E27">
      <w:pPr>
        <w:rPr>
          <w:bCs/>
        </w:rPr>
      </w:pPr>
    </w:p>
    <w:p w:rsidR="0094098B" w:rsidRDefault="0094098B" w:rsidP="00F05E27">
      <w:pPr>
        <w:rPr>
          <w:bCs/>
        </w:rPr>
      </w:pPr>
    </w:p>
    <w:p w:rsidR="0094098B" w:rsidRDefault="0094098B" w:rsidP="00F05E27">
      <w:pPr>
        <w:rPr>
          <w:bCs/>
        </w:rPr>
      </w:pPr>
    </w:p>
    <w:p w:rsidR="0094098B" w:rsidRPr="003E2304" w:rsidRDefault="0094098B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:rsidR="0094098B" w:rsidRPr="00BC3790" w:rsidRDefault="0094098B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smartTag w:uri="urn:schemas-microsoft-com:office:smarttags" w:element="PersonName">
        <w:smartTagPr>
          <w:attr w:name="ProductID" w:val="Alžběta Běličová"/>
        </w:smartTagPr>
        <w:r w:rsidRPr="00BC3790">
          <w:rPr>
            <w:rFonts w:cs="Arial"/>
            <w:bCs/>
            <w:szCs w:val="20"/>
          </w:rPr>
          <w:t>Alžběta Běličová</w:t>
        </w:r>
      </w:smartTag>
    </w:p>
    <w:p w:rsidR="0094098B" w:rsidRDefault="0094098B" w:rsidP="00F05E27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:rsidR="0094098B" w:rsidRPr="00AA698E" w:rsidRDefault="0094098B" w:rsidP="00F05E27">
      <w:r>
        <w:t xml:space="preserve">E-mail: </w:t>
      </w:r>
      <w:hyperlink r:id="rId8" w:history="1">
        <w:r w:rsidRPr="00602830">
          <w:rPr>
            <w:rStyle w:val="Hyperlink"/>
          </w:rPr>
          <w:t>media@asociaceveritelu.cz</w:t>
        </w:r>
      </w:hyperlink>
    </w:p>
    <w:p w:rsidR="0094098B" w:rsidRDefault="0094098B" w:rsidP="00F05E27">
      <w:pPr>
        <w:rPr>
          <w:bCs/>
        </w:rPr>
      </w:pPr>
      <w:r>
        <w:rPr>
          <w:bCs/>
        </w:rPr>
        <w:t>Telefon: +420 603 547 021</w:t>
      </w:r>
    </w:p>
    <w:p w:rsidR="0094098B" w:rsidRPr="00BC3790" w:rsidRDefault="0094098B" w:rsidP="00F05E27">
      <w:pPr>
        <w:rPr>
          <w:rFonts w:cs="Arial"/>
          <w:szCs w:val="20"/>
        </w:rPr>
      </w:pPr>
    </w:p>
    <w:p w:rsidR="0094098B" w:rsidRDefault="0094098B" w:rsidP="00831921">
      <w:pPr>
        <w:jc w:val="both"/>
      </w:pPr>
    </w:p>
    <w:sectPr w:rsidR="0094098B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98B" w:rsidRDefault="0094098B">
      <w:r>
        <w:separator/>
      </w:r>
    </w:p>
  </w:endnote>
  <w:endnote w:type="continuationSeparator" w:id="0">
    <w:p w:rsidR="0094098B" w:rsidRDefault="00940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98B" w:rsidRDefault="0094098B">
      <w:r>
        <w:separator/>
      </w:r>
    </w:p>
  </w:footnote>
  <w:footnote w:type="continuationSeparator" w:id="0">
    <w:p w:rsidR="0094098B" w:rsidRDefault="009409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8B" w:rsidRDefault="0094098B" w:rsidP="00F05E27">
    <w:pPr>
      <w:pStyle w:val="Header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0.5pt;height:38.25pt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6B78"/>
    <w:rsid w:val="00031493"/>
    <w:rsid w:val="00043F3E"/>
    <w:rsid w:val="00046C14"/>
    <w:rsid w:val="0009743F"/>
    <w:rsid w:val="00111049"/>
    <w:rsid w:val="00140E86"/>
    <w:rsid w:val="001436F0"/>
    <w:rsid w:val="00157688"/>
    <w:rsid w:val="00180E42"/>
    <w:rsid w:val="001819FA"/>
    <w:rsid w:val="001C1B55"/>
    <w:rsid w:val="001D0ED5"/>
    <w:rsid w:val="001D3601"/>
    <w:rsid w:val="001E482D"/>
    <w:rsid w:val="001F16E4"/>
    <w:rsid w:val="002029BA"/>
    <w:rsid w:val="00233E0A"/>
    <w:rsid w:val="00247C45"/>
    <w:rsid w:val="0026435E"/>
    <w:rsid w:val="00292208"/>
    <w:rsid w:val="002A1EB2"/>
    <w:rsid w:val="002B3BA5"/>
    <w:rsid w:val="002C5CE2"/>
    <w:rsid w:val="002F307D"/>
    <w:rsid w:val="002F7D8A"/>
    <w:rsid w:val="00302550"/>
    <w:rsid w:val="00341A13"/>
    <w:rsid w:val="00393BB3"/>
    <w:rsid w:val="003D54CC"/>
    <w:rsid w:val="003E2304"/>
    <w:rsid w:val="003F3E5B"/>
    <w:rsid w:val="003F5E1F"/>
    <w:rsid w:val="004B3EBC"/>
    <w:rsid w:val="004B68A2"/>
    <w:rsid w:val="004E07D9"/>
    <w:rsid w:val="005125C4"/>
    <w:rsid w:val="00517E9A"/>
    <w:rsid w:val="005202D9"/>
    <w:rsid w:val="00533A1B"/>
    <w:rsid w:val="005649FC"/>
    <w:rsid w:val="005A3231"/>
    <w:rsid w:val="005C2D0D"/>
    <w:rsid w:val="00602830"/>
    <w:rsid w:val="00630381"/>
    <w:rsid w:val="00663B84"/>
    <w:rsid w:val="0068662C"/>
    <w:rsid w:val="00692853"/>
    <w:rsid w:val="006D01EF"/>
    <w:rsid w:val="006D0F2E"/>
    <w:rsid w:val="006E4359"/>
    <w:rsid w:val="006F6245"/>
    <w:rsid w:val="00764B84"/>
    <w:rsid w:val="00771FFB"/>
    <w:rsid w:val="007D284E"/>
    <w:rsid w:val="007F09D1"/>
    <w:rsid w:val="008045BB"/>
    <w:rsid w:val="008121CF"/>
    <w:rsid w:val="00831921"/>
    <w:rsid w:val="00853F5B"/>
    <w:rsid w:val="00857E3D"/>
    <w:rsid w:val="00881B90"/>
    <w:rsid w:val="008A7ACF"/>
    <w:rsid w:val="008C6CD4"/>
    <w:rsid w:val="008E6308"/>
    <w:rsid w:val="00901CFF"/>
    <w:rsid w:val="009225BA"/>
    <w:rsid w:val="00934B9F"/>
    <w:rsid w:val="0094098B"/>
    <w:rsid w:val="009450AC"/>
    <w:rsid w:val="00960F30"/>
    <w:rsid w:val="00966B78"/>
    <w:rsid w:val="0098499E"/>
    <w:rsid w:val="009907FD"/>
    <w:rsid w:val="009C2A8D"/>
    <w:rsid w:val="009E163F"/>
    <w:rsid w:val="009F39DB"/>
    <w:rsid w:val="00A06390"/>
    <w:rsid w:val="00A75391"/>
    <w:rsid w:val="00A872AB"/>
    <w:rsid w:val="00AA698E"/>
    <w:rsid w:val="00AB7049"/>
    <w:rsid w:val="00AB7D9A"/>
    <w:rsid w:val="00AD56E9"/>
    <w:rsid w:val="00AD7EB4"/>
    <w:rsid w:val="00AE1EC7"/>
    <w:rsid w:val="00B043FA"/>
    <w:rsid w:val="00B974C8"/>
    <w:rsid w:val="00BC3790"/>
    <w:rsid w:val="00BC47DD"/>
    <w:rsid w:val="00BC4D03"/>
    <w:rsid w:val="00BF3F14"/>
    <w:rsid w:val="00BF78EC"/>
    <w:rsid w:val="00C54B20"/>
    <w:rsid w:val="00C77EED"/>
    <w:rsid w:val="00CB2362"/>
    <w:rsid w:val="00CD1EF9"/>
    <w:rsid w:val="00D138FB"/>
    <w:rsid w:val="00D46AFD"/>
    <w:rsid w:val="00D96BD9"/>
    <w:rsid w:val="00DD458A"/>
    <w:rsid w:val="00E33266"/>
    <w:rsid w:val="00E40A4A"/>
    <w:rsid w:val="00E928F5"/>
    <w:rsid w:val="00EB6212"/>
    <w:rsid w:val="00EB6422"/>
    <w:rsid w:val="00EB7EF1"/>
    <w:rsid w:val="00ED147E"/>
    <w:rsid w:val="00F05E27"/>
    <w:rsid w:val="00F450E3"/>
    <w:rsid w:val="00F705A8"/>
    <w:rsid w:val="00F82AC0"/>
    <w:rsid w:val="00FC04C4"/>
    <w:rsid w:val="00FD03B8"/>
    <w:rsid w:val="00FE2447"/>
    <w:rsid w:val="00FE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7D"/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8045BB"/>
    <w:pPr>
      <w:ind w:left="720"/>
    </w:pPr>
    <w:rPr>
      <w:szCs w:val="22"/>
      <w:lang w:eastAsia="en-US"/>
    </w:rPr>
  </w:style>
  <w:style w:type="character" w:styleId="Hyperlink">
    <w:name w:val="Hyperlink"/>
    <w:basedOn w:val="DefaultParagraphFont"/>
    <w:uiPriority w:val="99"/>
    <w:rsid w:val="00F05E2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14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D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3E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29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9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9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9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9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asociaceveritelu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ociaceveritel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692</Words>
  <Characters>4088</Characters>
  <Application>Microsoft Office Outlook</Application>
  <DocSecurity>0</DocSecurity>
  <Lines>0</Lines>
  <Paragraphs>0</Paragraphs>
  <ScaleCrop>false</ScaleCrop>
  <Company>GOPAS,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subject/>
  <dc:creator>xxx</dc:creator>
  <cp:keywords/>
  <dc:description/>
  <cp:lastModifiedBy>xxx</cp:lastModifiedBy>
  <cp:revision>5</cp:revision>
  <dcterms:created xsi:type="dcterms:W3CDTF">2014-05-11T19:18:00Z</dcterms:created>
  <dcterms:modified xsi:type="dcterms:W3CDTF">2014-05-12T09:11:00Z</dcterms:modified>
</cp:coreProperties>
</file>